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End w:id="5"/>
      <w:r>
        <w:rPr>
          <w:rStyle w:val="CommentReference"/>
        </w:rPr>
        <w:commentReference w:id="5"/>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74CF9A75" w:rsidR="004F32C8" w:rsidRPr="004F32C8" w:rsidRDefault="004F32C8" w:rsidP="004F32C8">
      <w:pPr>
        <w:ind w:firstLine="0"/>
        <w:rPr>
          <w:rFonts w:ascii="Times" w:eastAsia="Times New Roman" w:hAnsi="Times"/>
          <w:color w:val="000000" w:themeColor="text1"/>
          <w:sz w:val="22"/>
          <w:szCs w:val="22"/>
        </w:rPr>
      </w:pPr>
      <w:commentRangeStart w:id="6"/>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7" w:author="Kurumada, Chigusa" w:date="2023-02-19T13:26:00Z">
        <w:r w:rsidRPr="004F32C8" w:rsidDel="007113EA">
          <w:rPr>
            <w:rFonts w:ascii="Times" w:eastAsia="Times New Roman" w:hAnsi="Times"/>
            <w:color w:val="000000" w:themeColor="text1"/>
            <w:sz w:val="22"/>
            <w:szCs w:val="22"/>
          </w:rPr>
          <w:delText>independent of</w:delText>
        </w:r>
      </w:del>
      <w:ins w:id="8"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w:t>
      </w:r>
      <w:commentRangeStart w:id="9"/>
      <w:r w:rsidRPr="004F32C8">
        <w:rPr>
          <w:rFonts w:ascii="Times" w:eastAsia="Times New Roman" w:hAnsi="Times"/>
          <w:color w:val="000000" w:themeColor="text1"/>
          <w:sz w:val="22"/>
          <w:szCs w:val="22"/>
        </w:rPr>
        <w:t xml:space="preserve">compares </w:t>
      </w:r>
      <w:commentRangeStart w:id="10"/>
      <w:r w:rsidRPr="004F32C8">
        <w:rPr>
          <w:rFonts w:ascii="Times" w:eastAsia="Times New Roman" w:hAnsi="Times"/>
          <w:color w:val="000000" w:themeColor="text1"/>
          <w:sz w:val="22"/>
          <w:szCs w:val="22"/>
        </w:rPr>
        <w:t xml:space="preserve">likes with likes. </w:t>
      </w:r>
      <w:commentRangeEnd w:id="10"/>
      <w:r w:rsidR="007113EA">
        <w:rPr>
          <w:rStyle w:val="CommentReference"/>
        </w:rPr>
        <w:commentReference w:id="10"/>
      </w:r>
      <w:commentRangeEnd w:id="9"/>
      <w:r w:rsidR="00D62711">
        <w:rPr>
          <w:rStyle w:val="CommentReference"/>
        </w:rPr>
        <w:commentReference w:id="9"/>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2B1F91CC" w14:textId="62233C9F"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
      <w:r w:rsidRPr="004F32C8">
        <w:rPr>
          <w:rFonts w:ascii="Times" w:eastAsia="Times New Roman" w:hAnsi="Times"/>
          <w:color w:val="000000" w:themeColor="text1"/>
          <w:sz w:val="22"/>
          <w:szCs w:val="22"/>
        </w:rPr>
        <w:t xml:space="preserve">for at least each cue. </w:t>
      </w:r>
      <w:commentRangeEnd w:id="11"/>
      <w:r w:rsidR="00A072B4">
        <w:rPr>
          <w:rStyle w:val="CommentReference"/>
        </w:rPr>
        <w:commentReference w:id="11"/>
      </w:r>
      <w:r w:rsidRPr="004F32C8">
        <w:rPr>
          <w:rFonts w:ascii="Times" w:eastAsia="Times New Roman" w:hAnsi="Times"/>
          <w:color w:val="000000" w:themeColor="text1"/>
          <w:sz w:val="22"/>
          <w:szCs w:val="22"/>
        </w:rPr>
        <w:t xml:space="preserve">Changes in representations require the same </w:t>
      </w:r>
      <w:r w:rsidRPr="004F32C8">
        <w:rPr>
          <w:rFonts w:ascii="Times" w:eastAsia="Times New Roman" w:hAnsi="Times"/>
          <w:i/>
          <w:iCs/>
          <w:color w:val="000000" w:themeColor="text1"/>
          <w:sz w:val="22"/>
          <w:szCs w:val="22"/>
        </w:rPr>
        <w:t>but separately for each category</w:t>
      </w:r>
      <w:r w:rsidRPr="004F32C8">
        <w:rPr>
          <w:rFonts w:ascii="Times" w:eastAsia="Times New Roman" w:hAnsi="Times"/>
          <w:color w:val="000000" w:themeColor="text1"/>
          <w:sz w:val="22"/>
          <w:szCs w:val="22"/>
        </w:rPr>
        <w:t>. 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 w:author="Kurumada, Chigusa" w:date="2023-02-19T13:40:00Z">
            <w:rPr>
              <w:rFonts w:ascii="Times" w:eastAsia="Times New Roman" w:hAnsi="Times"/>
              <w:color w:val="000000" w:themeColor="text1"/>
              <w:sz w:val="22"/>
              <w:szCs w:val="22"/>
            </w:rPr>
          </w:rPrChange>
        </w:rPr>
        <w:t>likes with likes:</w:t>
      </w:r>
      <w:r w:rsidRPr="004F32C8">
        <w:rPr>
          <w:rFonts w:ascii="Times" w:eastAsia="Times New Roman" w:hAnsi="Times"/>
          <w:color w:val="000000" w:themeColor="text1"/>
          <w:sz w:val="22"/>
          <w:szCs w:val="22"/>
        </w:rPr>
        <w:t xml:space="preserve"> for each model of normalization, there is a parallel model of changes in </w:t>
      </w:r>
      <w:commentRangeStart w:id="13"/>
      <w:r w:rsidRPr="004F32C8">
        <w:rPr>
          <w:rFonts w:ascii="Times" w:eastAsia="Times New Roman" w:hAnsi="Times"/>
          <w:color w:val="000000" w:themeColor="text1"/>
          <w:sz w:val="22"/>
          <w:szCs w:val="22"/>
        </w:rPr>
        <w:t>representations that is more parsimonious.</w:t>
      </w:r>
      <w:commentRangeEnd w:id="6"/>
      <w:r w:rsidR="00F422A7">
        <w:rPr>
          <w:rStyle w:val="CommentReference"/>
        </w:rPr>
        <w:commentReference w:id="6"/>
      </w:r>
      <w:commentRangeEnd w:id="13"/>
      <w:r w:rsidR="00A072B4">
        <w:rPr>
          <w:rStyle w:val="CommentReference"/>
        </w:rPr>
        <w:commentReference w:id="13"/>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1. The authors write that "the signature results from two influential lines of research—often taken to lend support to changes in category representations—are actually compatible with </w:t>
      </w:r>
      <w:r w:rsidRPr="009A5273">
        <w:rPr>
          <w:rFonts w:ascii="Times" w:eastAsia="Times New Roman" w:hAnsi="Times"/>
          <w:color w:val="0031E6"/>
          <w:sz w:val="22"/>
          <w:szCs w:val="22"/>
        </w:rPr>
        <w:lastRenderedPageBreak/>
        <w:t>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4"/>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4"/>
      <w:r w:rsidR="00C26D0F">
        <w:rPr>
          <w:rStyle w:val="CommentReference"/>
        </w:rPr>
        <w:commentReference w:id="14"/>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5"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6"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7A7500B" w:rsidR="00616AEC" w:rsidRPr="00B54F9D" w:rsidRDefault="00B54F9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also hope that our general discussion makes clear that we do </w:t>
      </w:r>
      <w:r>
        <w:rPr>
          <w:rFonts w:ascii="Times" w:eastAsia="Times New Roman" w:hAnsi="Times"/>
          <w:b/>
          <w:bCs/>
          <w:i/>
          <w:iCs/>
          <w:color w:val="000000" w:themeColor="text1"/>
          <w:sz w:val="22"/>
          <w:szCs w:val="22"/>
        </w:rPr>
        <w:t>not</w:t>
      </w:r>
      <w:r>
        <w:rPr>
          <w:rFonts w:ascii="Times" w:eastAsia="Times New Roman" w:hAnsi="Times"/>
          <w:b/>
          <w:bCs/>
          <w:color w:val="000000" w:themeColor="text1"/>
          <w:sz w:val="22"/>
          <w:szCs w:val="22"/>
        </w:rPr>
        <w:t xml:space="preserve"> in fact think that there is no existing evidence whatsoever that distinguishes between the mechanisms</w:t>
      </w:r>
      <w:r>
        <w:rPr>
          <w:rFonts w:ascii="Times" w:eastAsia="Times New Roman" w:hAnsi="Times"/>
          <w:color w:val="000000" w:themeColor="text1"/>
          <w:sz w:val="22"/>
          <w:szCs w:val="22"/>
        </w:rPr>
        <w:t xml:space="preserve"> but it’s far and few between, often not yet replicated, and most of these pieces of evidence (all discussed in SI XXX) arguably only imply that at least two of the mechanisms are required, not that a specific mechanisms definitely must be involved (e.g., 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7"/>
      <w:r>
        <w:rPr>
          <w:rFonts w:ascii="Times" w:eastAsia="Times New Roman" w:hAnsi="Times"/>
          <w:color w:val="000000" w:themeColor="text1"/>
          <w:sz w:val="22"/>
          <w:szCs w:val="22"/>
        </w:rPr>
        <w:t>implicates</w:t>
      </w:r>
      <w:commentRangeEnd w:id="17"/>
      <w:r w:rsidR="00AB3927">
        <w:rPr>
          <w:rStyle w:val="CommentReference"/>
        </w:rPr>
        <w:commentReference w:id="17"/>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8"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lastRenderedPageBreak/>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5C9A5CCF"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its phonetics are understood, and because of the quality of available databases that provide information about the relevant phonetic </w:t>
      </w:r>
      <w:commentRangeStart w:id="19"/>
      <w:r>
        <w:rPr>
          <w:rFonts w:ascii="Times" w:eastAsia="Times New Roman" w:hAnsi="Times"/>
          <w:color w:val="000000" w:themeColor="text1"/>
          <w:sz w:val="22"/>
          <w:szCs w:val="22"/>
        </w:rPr>
        <w:t>distributions</w:t>
      </w:r>
      <w:commentRangeEnd w:id="19"/>
      <w:r>
        <w:rPr>
          <w:rStyle w:val="CommentReference"/>
        </w:rPr>
        <w:commentReference w:id="19"/>
      </w:r>
      <w:r>
        <w:rPr>
          <w:rFonts w:ascii="Times" w:eastAsia="Times New Roman" w:hAnsi="Times"/>
          <w:color w:val="000000" w:themeColor="text1"/>
          <w:sz w:val="22"/>
          <w:szCs w:val="22"/>
        </w:rPr>
        <w:t xml:space="preserve">. </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5AE9C78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 As discussed in Kleinschmidt &amp; Jaeger (2015) talker-specificity and cross-talker generalization can be productively understood as inferences, rather than either being there or not.</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w:t>
      </w:r>
      <w:r w:rsidRPr="009A5273">
        <w:rPr>
          <w:rFonts w:ascii="Times" w:eastAsia="Times New Roman" w:hAnsi="Times"/>
          <w:color w:val="0031E6"/>
          <w:sz w:val="22"/>
          <w:szCs w:val="22"/>
        </w:rPr>
        <w:lastRenderedPageBreak/>
        <w:t xml:space="preserve">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20"/>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20"/>
      <w:r w:rsidR="00C26D0F" w:rsidRPr="002445FE">
        <w:rPr>
          <w:rStyle w:val="CommentReference"/>
          <w:b/>
          <w:bCs/>
        </w:rPr>
        <w:commentReference w:id="20"/>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21"/>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21"/>
      <w:r w:rsidR="00D10781">
        <w:rPr>
          <w:rStyle w:val="CommentReference"/>
        </w:rPr>
        <w:commentReference w:id="21"/>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22"/>
      <w:r w:rsidR="002445FE" w:rsidRPr="00A50F5E">
        <w:rPr>
          <w:rFonts w:ascii="Times" w:eastAsia="Times New Roman" w:hAnsi="Times"/>
          <w:color w:val="000000" w:themeColor="text1"/>
          <w:sz w:val="22"/>
          <w:szCs w:val="22"/>
        </w:rPr>
        <w:t>representations.</w:t>
      </w:r>
      <w:commentRangeEnd w:id="22"/>
      <w:r w:rsidR="00924F4C">
        <w:rPr>
          <w:rStyle w:val="CommentReference"/>
        </w:rPr>
        <w:commentReference w:id="22"/>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2F94DF2A"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23"/>
      <w:r w:rsidRPr="0079619B">
        <w:rPr>
          <w:rFonts w:ascii="Times" w:eastAsia="Times New Roman" w:hAnsi="Times"/>
          <w:b/>
          <w:bCs/>
          <w:color w:val="000000" w:themeColor="text1"/>
          <w:sz w:val="22"/>
          <w:szCs w:val="22"/>
        </w:rPr>
        <w:t xml:space="preserve">ow clarify again that the three mechanisms should not be </w:t>
      </w:r>
      <w:r w:rsidRPr="0079619B">
        <w:rPr>
          <w:rFonts w:ascii="Times" w:eastAsia="Times New Roman" w:hAnsi="Times"/>
          <w:b/>
          <w:bCs/>
          <w:color w:val="000000" w:themeColor="text1"/>
          <w:sz w:val="22"/>
          <w:szCs w:val="22"/>
        </w:rPr>
        <w:lastRenderedPageBreak/>
        <w:t>understood as discrete information-encapsulated processes</w:t>
      </w:r>
      <w:r>
        <w:rPr>
          <w:rFonts w:ascii="Times" w:eastAsia="Times New Roman" w:hAnsi="Times"/>
          <w:color w:val="000000" w:themeColor="text1"/>
          <w:sz w:val="22"/>
          <w:szCs w:val="22"/>
        </w:rPr>
        <w:t xml:space="preserve"> (footnote XXX, p. XXX).</w:t>
      </w:r>
      <w:r w:rsidRPr="0079619B">
        <w:rPr>
          <w:rFonts w:ascii="Times" w:eastAsia="Times New Roman" w:hAnsi="Times"/>
          <w:color w:val="000000" w:themeColor="text1"/>
          <w:sz w:val="22"/>
          <w:szCs w:val="22"/>
        </w:rPr>
        <w:t xml:space="preserve"> </w:t>
      </w:r>
      <w:commentRangeEnd w:id="23"/>
      <w:r>
        <w:rPr>
          <w:rStyle w:val="CommentReference"/>
        </w:rPr>
        <w:commentReference w:id="23"/>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4"/>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4"/>
      <w:r>
        <w:rPr>
          <w:rStyle w:val="CommentReference"/>
        </w:rPr>
        <w:commentReference w:id="24"/>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5"/>
      <w:r w:rsidRPr="00DD14F8">
        <w:rPr>
          <w:rFonts w:ascii="Times" w:eastAsia="Times New Roman" w:hAnsi="Times"/>
          <w:color w:val="000000" w:themeColor="text1"/>
          <w:sz w:val="22"/>
          <w:szCs w:val="22"/>
        </w:rPr>
        <w:t>Would a figure that consolidates all three of these figures into one perhaps help?</w:t>
      </w:r>
      <w:commentRangeEnd w:id="25"/>
      <w:r>
        <w:rPr>
          <w:rStyle w:val="CommentReference"/>
        </w:rPr>
        <w:commentReference w:id="25"/>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23100F2"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6"/>
      <w:r>
        <w:rPr>
          <w:rFonts w:ascii="Times" w:eastAsia="Times New Roman" w:hAnsi="Times"/>
          <w:color w:val="000000" w:themeColor="text1"/>
          <w:sz w:val="22"/>
          <w:szCs w:val="22"/>
        </w:rPr>
        <w:t>Elsewhere, we have seen “criteria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6"/>
      <w:r>
        <w:rPr>
          <w:rStyle w:val="CommentReference"/>
        </w:rPr>
        <w:commentReference w:id="26"/>
      </w:r>
      <w:r>
        <w:rPr>
          <w:rFonts w:ascii="Times" w:eastAsia="Times New Roman" w:hAnsi="Times"/>
          <w:color w:val="000000" w:themeColor="text1"/>
          <w:sz w:val="22"/>
          <w:szCs w:val="22"/>
        </w:rPr>
        <w:t xml:space="preserve"> </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7"/>
      <w:r w:rsidRPr="009A5273">
        <w:rPr>
          <w:rFonts w:ascii="Times" w:eastAsia="Times New Roman" w:hAnsi="Times"/>
          <w:color w:val="0031E6"/>
          <w:sz w:val="22"/>
          <w:szCs w:val="22"/>
        </w:rPr>
        <w:t xml:space="preserve">Magnuson and Nusbaum (2007) for an alternative </w:t>
      </w:r>
      <w:r w:rsidRPr="009A5273">
        <w:rPr>
          <w:rFonts w:ascii="Times" w:eastAsia="Times New Roman" w:hAnsi="Times"/>
          <w:color w:val="0031E6"/>
          <w:sz w:val="22"/>
          <w:szCs w:val="22"/>
        </w:rPr>
        <w:lastRenderedPageBreak/>
        <w:t xml:space="preserve">conception of normalization </w:t>
      </w:r>
      <w:commentRangeEnd w:id="27"/>
      <w:r w:rsidR="00AA49F3">
        <w:rPr>
          <w:rStyle w:val="CommentReference"/>
        </w:rPr>
        <w:commentReference w:id="27"/>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8"/>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8"/>
      <w:r w:rsidR="00AA49F3">
        <w:rPr>
          <w:rStyle w:val="CommentReference"/>
        </w:rPr>
        <w:commentReference w:id="28"/>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9"/>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9"/>
      <w:r w:rsidR="00AA49F3">
        <w:rPr>
          <w:rStyle w:val="CommentReference"/>
        </w:rPr>
        <w:commentReference w:id="29"/>
      </w:r>
    </w:p>
    <w:p w14:paraId="6F6F4DC3" w14:textId="77777777" w:rsidR="00AA49F3" w:rsidRDefault="00AA49F3" w:rsidP="009D6F9F">
      <w:pPr>
        <w:ind w:firstLine="0"/>
        <w:rPr>
          <w:rFonts w:ascii="Times" w:eastAsia="Times New Roman" w:hAnsi="Times"/>
          <w:color w:val="0031E6"/>
          <w:sz w:val="22"/>
          <w:szCs w:val="22"/>
        </w:rPr>
      </w:pPr>
    </w:p>
    <w:p w14:paraId="4BA118D4" w14:textId="6F81359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making us </w:t>
      </w:r>
      <w:proofErr w:type="gramStart"/>
      <w:r>
        <w:rPr>
          <w:rFonts w:ascii="Times" w:eastAsia="Times New Roman" w:hAnsi="Times"/>
          <w:color w:val="000000" w:themeColor="text1"/>
          <w:sz w:val="22"/>
          <w:szCs w:val="22"/>
          <w:highlight w:val="yellow"/>
        </w:rPr>
        <w:t>aware/reminding</w:t>
      </w:r>
      <w:proofErr w:type="gramEnd"/>
      <w:r>
        <w:rPr>
          <w:rFonts w:ascii="Times" w:eastAsia="Times New Roman" w:hAnsi="Times"/>
          <w:color w:val="000000" w:themeColor="text1"/>
          <w:sz w:val="22"/>
          <w:szCs w:val="22"/>
          <w:highlight w:val="yellow"/>
        </w:rPr>
        <w:t xml:space="preserve"> us of this work. </w:t>
      </w:r>
      <w:r w:rsidRPr="00AA49F3">
        <w:rPr>
          <w:rFonts w:ascii="Times" w:eastAsia="Times New Roman" w:hAnsi="Times"/>
          <w:b/>
          <w:bCs/>
          <w:color w:val="000000" w:themeColor="text1"/>
          <w:sz w:val="22"/>
          <w:szCs w:val="22"/>
          <w:highlight w:val="yellow"/>
        </w:rPr>
        <w:t xml:space="preserve">We now mention </w:t>
      </w:r>
      <w:r>
        <w:rPr>
          <w:rFonts w:ascii="Times" w:eastAsia="Times New Roman" w:hAnsi="Times"/>
          <w:b/>
          <w:bCs/>
          <w:color w:val="000000" w:themeColor="text1"/>
          <w:sz w:val="22"/>
          <w:szCs w:val="22"/>
          <w:highlight w:val="yellow"/>
        </w:rPr>
        <w:t>Luthra et al. (2020)</w:t>
      </w:r>
      <w:r w:rsidRPr="00AA49F3">
        <w:rPr>
          <w:rFonts w:ascii="Times" w:eastAsia="Times New Roman" w:hAnsi="Times"/>
          <w:b/>
          <w:bCs/>
          <w:color w:val="000000" w:themeColor="text1"/>
          <w:sz w:val="22"/>
          <w:szCs w:val="22"/>
          <w:highlight w:val="yellow"/>
        </w:rPr>
        <w:t xml:space="preserve"> as part of our discussion, which returns to this point </w:t>
      </w:r>
      <w:r w:rsidRPr="00AA49F3">
        <w:rPr>
          <w:rFonts w:ascii="Times" w:eastAsia="Times New Roman" w:hAnsi="Times"/>
          <w:b/>
          <w:bCs/>
          <w:color w:val="000000" w:themeColor="text1"/>
          <w:sz w:val="22"/>
          <w:szCs w:val="22"/>
        </w:rPr>
        <w:t xml:space="preserve">(p. </w:t>
      </w:r>
      <w:commentRangeStart w:id="30"/>
      <w:r w:rsidRPr="00AA49F3">
        <w:rPr>
          <w:rFonts w:ascii="Times" w:eastAsia="Times New Roman" w:hAnsi="Times"/>
          <w:b/>
          <w:bCs/>
          <w:color w:val="000000" w:themeColor="text1"/>
          <w:sz w:val="22"/>
          <w:szCs w:val="22"/>
        </w:rPr>
        <w:t>XXX</w:t>
      </w:r>
      <w:commentRangeEnd w:id="30"/>
      <w:r>
        <w:rPr>
          <w:rStyle w:val="CommentReference"/>
        </w:rPr>
        <w:commentReference w:id="30"/>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31"/>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31"/>
      <w:r w:rsidR="00D047DD">
        <w:rPr>
          <w:rStyle w:val="CommentReference"/>
        </w:rPr>
        <w:commentReference w:id="31"/>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32"/>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32"/>
      <w:r w:rsidR="00125E8E">
        <w:rPr>
          <w:rStyle w:val="CommentReference"/>
        </w:rPr>
        <w:commentReference w:id="32"/>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01C9AF75"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33"/>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w:t>
      </w:r>
      <w:r w:rsidRPr="009A5273">
        <w:rPr>
          <w:rFonts w:ascii="Times" w:eastAsia="Times New Roman" w:hAnsi="Times"/>
          <w:color w:val="0031E6"/>
          <w:sz w:val="22"/>
          <w:szCs w:val="22"/>
        </w:rPr>
        <w:lastRenderedPageBreak/>
        <w:t xml:space="preserve">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33"/>
      <w:r w:rsidR="00B140A6">
        <w:rPr>
          <w:rStyle w:val="CommentReference"/>
        </w:rPr>
        <w:commentReference w:id="33"/>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34"/>
      <w:commentRangeStart w:id="35"/>
      <w:r w:rsidR="009A5273" w:rsidRPr="009A5273">
        <w:rPr>
          <w:rFonts w:ascii="Times" w:eastAsia="Times New Roman" w:hAnsi="Times"/>
          <w:color w:val="0031E6"/>
          <w:sz w:val="22"/>
          <w:szCs w:val="22"/>
        </w:rPr>
        <w:t xml:space="preserve">those authors also published a paper that same year in Neuroimage, </w:t>
      </w:r>
      <w:commentRangeEnd w:id="34"/>
      <w:r>
        <w:rPr>
          <w:rStyle w:val="CommentReference"/>
        </w:rPr>
        <w:commentReference w:id="34"/>
      </w:r>
      <w:commentRangeEnd w:id="35"/>
      <w:r w:rsidR="002C1C0C">
        <w:rPr>
          <w:rStyle w:val="CommentReference"/>
        </w:rPr>
        <w:commentReference w:id="35"/>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36"/>
      <w:commentRangeStart w:id="37"/>
      <w:r w:rsidRPr="00561C03">
        <w:rPr>
          <w:rFonts w:ascii="Times" w:eastAsia="Times New Roman" w:hAnsi="Times"/>
          <w:color w:val="000000" w:themeColor="text1"/>
          <w:sz w:val="22"/>
          <w:szCs w:val="22"/>
        </w:rPr>
        <w:t>added</w:t>
      </w:r>
      <w:commentRangeEnd w:id="36"/>
      <w:r>
        <w:rPr>
          <w:rStyle w:val="CommentReference"/>
        </w:rPr>
        <w:commentReference w:id="36"/>
      </w:r>
      <w:commentRangeEnd w:id="37"/>
      <w:r w:rsidR="00F87402">
        <w:rPr>
          <w:rStyle w:val="CommentReference"/>
        </w:rPr>
        <w:commentReference w:id="37"/>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 xml:space="preserve">R1 brings up the possibility that adaptation could occur at all three levels simultaneously and that the implications for this should be discussed. The </w:t>
      </w:r>
      <w:r w:rsidRPr="00174B73">
        <w:rPr>
          <w:rFonts w:ascii="Segoe UI" w:hAnsi="Segoe UI" w:cs="Segoe UI"/>
          <w:color w:val="424242"/>
          <w:sz w:val="23"/>
          <w:szCs w:val="23"/>
          <w:highlight w:val="yellow"/>
          <w:shd w:val="clear" w:color="auto" w:fill="FFFFFF"/>
        </w:rPr>
        <w:t>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10" w:author="Kurumada, Chigusa" w:date="2023-02-19T13:27:00Z" w:initials="CK">
    <w:p w14:paraId="03AFB283" w14:textId="77777777" w:rsidR="007113EA" w:rsidRDefault="007113EA" w:rsidP="00B06811">
      <w:pPr>
        <w:jc w:val="left"/>
      </w:pPr>
      <w:r>
        <w:rPr>
          <w:rStyle w:val="CommentReference"/>
        </w:rPr>
        <w:annotationRef/>
      </w:r>
      <w:r>
        <w:rPr>
          <w:sz w:val="20"/>
          <w:szCs w:val="20"/>
        </w:rPr>
        <w:t>I think we need to say “like with like” or “like for like”.</w:t>
      </w:r>
    </w:p>
  </w:comment>
  <w:comment w:id="9" w:author="Kurumada, Chigusa" w:date="2023-02-19T13:39:00Z" w:initials="CK">
    <w:p w14:paraId="60C82BD7" w14:textId="77777777" w:rsidR="00D62711" w:rsidRDefault="00D62711" w:rsidP="00D646CB">
      <w:pPr>
        <w:jc w:val="left"/>
      </w:pPr>
      <w:r>
        <w:rPr>
          <w:rStyle w:val="CommentReference"/>
        </w:rPr>
        <w:annotationRef/>
      </w:r>
      <w:r>
        <w:rPr>
          <w:sz w:val="20"/>
          <w:szCs w:val="20"/>
        </w:rPr>
        <w:t>Like for like?</w:t>
      </w:r>
    </w:p>
  </w:comment>
  <w:comment w:id="11" w:author="Kurumada, Chigusa" w:date="2023-02-19T13:40:00Z" w:initials="CK">
    <w:p w14:paraId="23EE112D" w14:textId="77777777" w:rsidR="00A072B4" w:rsidRDefault="00A072B4" w:rsidP="009C7C50">
      <w:pPr>
        <w:jc w:val="left"/>
      </w:pPr>
      <w:r>
        <w:rPr>
          <w:rStyle w:val="CommentReference"/>
        </w:rPr>
        <w:annotationRef/>
      </w:r>
      <w:r>
        <w:rPr>
          <w:sz w:val="20"/>
          <w:szCs w:val="20"/>
        </w:rPr>
        <w:t>Can we just say “for each cue”?</w:t>
      </w:r>
    </w:p>
  </w:comment>
  <w:comment w:id="6"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4"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7" w:author="Kurumada, Chigusa" w:date="2023-02-19T13:49:00Z" w:initials="CK">
    <w:p w14:paraId="730449DB" w14:textId="77777777" w:rsidR="00AB3927" w:rsidRDefault="00AB3927" w:rsidP="00065061">
      <w:pPr>
        <w:jc w:val="left"/>
      </w:pPr>
      <w:r>
        <w:rPr>
          <w:rStyle w:val="CommentReference"/>
        </w:rPr>
        <w:annotationRef/>
      </w:r>
      <w:r>
        <w:rPr>
          <w:sz w:val="20"/>
          <w:szCs w:val="20"/>
        </w:rPr>
        <w:t>Entails?</w:t>
      </w:r>
    </w:p>
  </w:comment>
  <w:comment w:id="19"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20"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 xml:space="preserve">And Xin, do you mind contacting </w:t>
      </w:r>
      <w:r>
        <w:rPr>
          <w:b/>
          <w:bCs/>
        </w:rPr>
        <w:t>Sohoglu to double check whether our passage is representing them well?</w:t>
      </w:r>
    </w:p>
  </w:comment>
  <w:comment w:id="21"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 xml:space="preserve">I think we should reach out to </w:t>
      </w:r>
      <w:r>
        <w:rPr>
          <w:rStyle w:val="CommentReference"/>
          <w:b/>
          <w:bCs/>
        </w:rPr>
        <w:t>Sohoglu to see whether there are other papers that describe the model.</w:t>
      </w:r>
    </w:p>
  </w:comment>
  <w:comment w:id="22" w:author="Kurumada, Chigusa" w:date="2023-02-19T13:57:00Z" w:initials="CK">
    <w:p w14:paraId="670C93E4" w14:textId="77777777" w:rsidR="00924F4C" w:rsidRDefault="00924F4C" w:rsidP="00AD4321">
      <w:pPr>
        <w:jc w:val="left"/>
      </w:pPr>
      <w:r>
        <w:rPr>
          <w:rStyle w:val="CommentReference"/>
        </w:rPr>
        <w:annotationRef/>
      </w:r>
      <w:r>
        <w:rPr>
          <w:sz w:val="20"/>
          <w:szCs w:val="20"/>
        </w:rPr>
        <w:t>Do we mean “representations” or “(many levels of) processing”?</w:t>
      </w:r>
    </w:p>
  </w:comment>
  <w:comment w:id="23" w:author="Jaeger, Florian" w:date="2023-02-18T15:24:00Z" w:initials="JF">
    <w:p w14:paraId="7D422B17" w14:textId="7DD4B91C" w:rsidR="0079619B" w:rsidRDefault="0079619B">
      <w:pPr>
        <w:pStyle w:val="CommentText"/>
      </w:pPr>
      <w:r>
        <w:rPr>
          <w:rStyle w:val="CommentReference"/>
        </w:rPr>
        <w:annotationRef/>
      </w:r>
      <w:r>
        <w:t>To do.</w:t>
      </w:r>
    </w:p>
  </w:comment>
  <w:comment w:id="24" w:author="Jaeger, Florian" w:date="2023-02-18T15:32:00Z" w:initials="JF">
    <w:p w14:paraId="3D26D404" w14:textId="1D07F9DC" w:rsidR="00DD14F8" w:rsidRDefault="00DD14F8">
      <w:pPr>
        <w:pStyle w:val="CommentText"/>
      </w:pPr>
      <w:r>
        <w:rPr>
          <w:rStyle w:val="CommentReference"/>
        </w:rPr>
        <w:annotationRef/>
      </w:r>
      <w:r>
        <w:t>To do!</w:t>
      </w:r>
    </w:p>
  </w:comment>
  <w:comment w:id="25"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6" w:author="Jaeger, Florian" w:date="2023-02-18T15:38:00Z" w:initials="JF">
    <w:p w14:paraId="6EEA2209" w14:textId="77382551" w:rsidR="00AA49F3" w:rsidRDefault="00AA49F3">
      <w:pPr>
        <w:pStyle w:val="CommentText"/>
      </w:pPr>
      <w:r>
        <w:rPr>
          <w:rStyle w:val="CommentReference"/>
        </w:rPr>
        <w:annotationRef/>
      </w:r>
      <w:r>
        <w:t>Check.</w:t>
      </w:r>
    </w:p>
  </w:comment>
  <w:comment w:id="27" w:author="Jaeger, Florian" w:date="2023-02-18T15:41:00Z" w:initials="JF">
    <w:p w14:paraId="691B4E80" w14:textId="77777777" w:rsidR="00AA49F3" w:rsidRDefault="00AA49F3">
      <w:pPr>
        <w:pStyle w:val="CommentText"/>
      </w:pPr>
      <w:r>
        <w:rPr>
          <w:rStyle w:val="CommentReference"/>
        </w:rPr>
        <w:annotationRef/>
      </w:r>
      <w:r>
        <w:t xml:space="preserve">Check whether they </w:t>
      </w:r>
      <w:r>
        <w:t>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w:t>
      </w:r>
      <w:r>
        <w:t>specificit.</w:t>
      </w:r>
    </w:p>
  </w:comment>
  <w:comment w:id="28"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 xml:space="preserve">If it’s just Kleinschmidt mention that this is just showing that normalization can only go so far. Which, of course, we say in our manuscript, too (the simpler mechanisms are limited). It does not show that listeners </w:t>
      </w:r>
      <w:r>
        <w:t>actually do use more than normalization.</w:t>
      </w:r>
    </w:p>
  </w:comment>
  <w:comment w:id="29"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30" w:author="Jaeger, Florian" w:date="2023-02-18T15:46:00Z" w:initials="JF">
    <w:p w14:paraId="4AF271D8" w14:textId="7AB32DE8" w:rsidR="00AA49F3" w:rsidRDefault="00AA49F3">
      <w:pPr>
        <w:pStyle w:val="CommentText"/>
      </w:pPr>
      <w:r>
        <w:rPr>
          <w:rStyle w:val="CommentReference"/>
        </w:rPr>
        <w:annotationRef/>
      </w:r>
      <w:r>
        <w:t>To do.</w:t>
      </w:r>
    </w:p>
  </w:comment>
  <w:comment w:id="31" w:author="Jaeger, Florian" w:date="2023-02-18T15:54:00Z" w:initials="JF">
    <w:p w14:paraId="729B44B2" w14:textId="62D07B9E"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w:t>
      </w:r>
      <w:r w:rsidRPr="00D047DD">
        <w:rPr>
          <w:b/>
          <w:bCs/>
        </w:rPr>
        <w:t>feldman is more of a review).</w:t>
      </w:r>
    </w:p>
  </w:comment>
  <w:comment w:id="32" w:author="Jaeger, Florian" w:date="2023-02-18T15:59:00Z" w:initials="JF">
    <w:p w14:paraId="520C4C45" w14:textId="5FB5E90D" w:rsidR="00125E8E" w:rsidRDefault="00125E8E">
      <w:pPr>
        <w:pStyle w:val="CommentText"/>
      </w:pPr>
      <w:r>
        <w:rPr>
          <w:rStyle w:val="CommentReference"/>
        </w:rPr>
        <w:annotationRef/>
      </w:r>
      <w:r>
        <w:t xml:space="preserve">Compare to murphy 2012. I mean N could be total number of observations of a certain type and n is an index that might </w:t>
      </w:r>
      <w:r>
        <w:t xml:space="preserve">actually be larger than N. but perhaps it’s worth clarifying </w:t>
      </w:r>
      <w:r>
        <w:t>tht.</w:t>
      </w:r>
    </w:p>
  </w:comment>
  <w:comment w:id="33"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34"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35"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36" w:author="Jaeger, Florian" w:date="2023-02-18T16:36:00Z" w:initials="JF">
    <w:p w14:paraId="399BD81F" w14:textId="0DCE654D"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37"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03AFB283" w15:done="0"/>
  <w15:commentEx w15:paraId="60C82BD7" w15:done="0"/>
  <w15:commentEx w15:paraId="23EE112D" w15:done="0"/>
  <w15:commentEx w15:paraId="6260CE47" w15:done="0"/>
  <w15:commentEx w15:paraId="4C6C9323" w15:done="0"/>
  <w15:commentEx w15:paraId="1EC4ED9F" w15:done="0"/>
  <w15:commentEx w15:paraId="730449DB" w15:done="0"/>
  <w15:commentEx w15:paraId="5597E081" w15:done="0"/>
  <w15:commentEx w15:paraId="6EEED3AE" w15:done="0"/>
  <w15:commentEx w15:paraId="6D1DD929" w15:done="0"/>
  <w15:commentEx w15:paraId="670C93E4" w15:done="0"/>
  <w15:commentEx w15:paraId="7D422B17" w15:done="0"/>
  <w15:commentEx w15:paraId="3D26D404" w15:done="0"/>
  <w15:commentEx w15:paraId="56092E8F" w15:done="0"/>
  <w15:commentEx w15:paraId="6EEA2209" w15:done="0"/>
  <w15:commentEx w15:paraId="199B6624" w15:done="0"/>
  <w15:commentEx w15:paraId="38B9B042" w15:done="0"/>
  <w15:commentEx w15:paraId="14FF724B" w15:done="0"/>
  <w15:commentEx w15:paraId="4AF271D8" w15:done="0"/>
  <w15:commentEx w15:paraId="729B44B2" w15:done="0"/>
  <w15:commentEx w15:paraId="520C4C45" w15:done="0"/>
  <w15:commentEx w15:paraId="55EB01C1" w15:done="0"/>
  <w15:commentEx w15:paraId="17A75C4F" w15:done="0"/>
  <w15:commentEx w15:paraId="372524CB" w15:paraIdParent="17A75C4F" w15:done="0"/>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9CA23C" w16cex:dateUtc="2023-02-19T20:27:00Z"/>
  <w16cex:commentExtensible w16cex:durableId="279CA517" w16cex:dateUtc="2023-02-19T20:39: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9CA93E" w16cex:dateUtc="2023-02-19T20:57: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9B703E" w16cex:dateUtc="2023-02-18T22:41:00Z"/>
  <w16cex:commentExtensible w16cex:durableId="279B70A4" w16cex:dateUtc="2023-02-18T22:43:00Z"/>
  <w16cex:commentExtensible w16cex:durableId="279B70F9" w16cex:dateUtc="2023-02-18T22:44:00Z"/>
  <w16cex:commentExtensible w16cex:durableId="279B7144" w16cex:dateUtc="2023-02-18T22:46: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CADF6" w16cex:dateUtc="2023-02-19T21:1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03AFB283" w16cid:durableId="279CA23C"/>
  <w16cid:commentId w16cid:paraId="60C82BD7" w16cid:durableId="279CA517"/>
  <w16cid:commentId w16cid:paraId="23EE112D" w16cid:durableId="279CA53A"/>
  <w16cid:commentId w16cid:paraId="6260CE47" w16cid:durableId="279B5426"/>
  <w16cid:commentId w16cid:paraId="4C6C9323" w16cid:durableId="279CA56C"/>
  <w16cid:commentId w16cid:paraId="1EC4ED9F" w16cid:durableId="279B6054"/>
  <w16cid:commentId w16cid:paraId="730449DB" w16cid:durableId="279CA775"/>
  <w16cid:commentId w16cid:paraId="5597E081" w16cid:durableId="279B61C3"/>
  <w16cid:commentId w16cid:paraId="6EEED3AE" w16cid:durableId="279B62AE"/>
  <w16cid:commentId w16cid:paraId="6D1DD929" w16cid:durableId="279C7997"/>
  <w16cid:commentId w16cid:paraId="670C93E4" w16cid:durableId="279CA93E"/>
  <w16cid:commentId w16cid:paraId="7D422B17" w16cid:durableId="279B6C2A"/>
  <w16cid:commentId w16cid:paraId="3D26D404" w16cid:durableId="279B6E26"/>
  <w16cid:commentId w16cid:paraId="56092E8F" w16cid:durableId="279B6E32"/>
  <w16cid:commentId w16cid:paraId="6EEA2209" w16cid:durableId="279B6F6C"/>
  <w16cid:commentId w16cid:paraId="199B6624" w16cid:durableId="279B703E"/>
  <w16cid:commentId w16cid:paraId="38B9B042" w16cid:durableId="279B70A4"/>
  <w16cid:commentId w16cid:paraId="14FF724B" w16cid:durableId="279B70F9"/>
  <w16cid:commentId w16cid:paraId="4AF271D8" w16cid:durableId="279B7144"/>
  <w16cid:commentId w16cid:paraId="729B44B2" w16cid:durableId="279B732B"/>
  <w16cid:commentId w16cid:paraId="520C4C45" w16cid:durableId="279B7474"/>
  <w16cid:commentId w16cid:paraId="55EB01C1" w16cid:durableId="279B771A"/>
  <w16cid:commentId w16cid:paraId="17A75C4F" w16cid:durableId="279B78A0"/>
  <w16cid:commentId w16cid:paraId="372524CB" w16cid:durableId="279CADF6"/>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2A06" w14:textId="77777777" w:rsidR="00604144" w:rsidRDefault="00604144" w:rsidP="00A70529">
      <w:r>
        <w:separator/>
      </w:r>
    </w:p>
  </w:endnote>
  <w:endnote w:type="continuationSeparator" w:id="0">
    <w:p w14:paraId="4CE23BDB" w14:textId="77777777" w:rsidR="00604144" w:rsidRDefault="0060414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846B" w14:textId="77777777" w:rsidR="00604144" w:rsidRDefault="00604144" w:rsidP="00A70529">
      <w:r>
        <w:separator/>
      </w:r>
    </w:p>
  </w:footnote>
  <w:footnote w:type="continuationSeparator" w:id="0">
    <w:p w14:paraId="61B44AD0" w14:textId="77777777" w:rsidR="00604144" w:rsidRDefault="00604144"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7"/>
  </w:num>
  <w:num w:numId="5" w16cid:durableId="2026662462">
    <w:abstractNumId w:val="11"/>
  </w:num>
  <w:num w:numId="6" w16cid:durableId="407576523">
    <w:abstractNumId w:val="10"/>
  </w:num>
  <w:num w:numId="7" w16cid:durableId="495733130">
    <w:abstractNumId w:val="12"/>
  </w:num>
  <w:num w:numId="8" w16cid:durableId="1329091809">
    <w:abstractNumId w:val="1"/>
  </w:num>
  <w:num w:numId="9" w16cid:durableId="324864642">
    <w:abstractNumId w:val="8"/>
  </w:num>
  <w:num w:numId="10" w16cid:durableId="1574781905">
    <w:abstractNumId w:val="6"/>
  </w:num>
  <w:num w:numId="11" w16cid:durableId="1870753705">
    <w:abstractNumId w:val="16"/>
  </w:num>
  <w:num w:numId="12" w16cid:durableId="759181644">
    <w:abstractNumId w:val="13"/>
  </w:num>
  <w:num w:numId="13" w16cid:durableId="509486338">
    <w:abstractNumId w:val="15"/>
  </w:num>
  <w:num w:numId="14" w16cid:durableId="932931674">
    <w:abstractNumId w:val="14"/>
  </w:num>
  <w:num w:numId="15" w16cid:durableId="1544899483">
    <w:abstractNumId w:val="9"/>
  </w:num>
  <w:num w:numId="16" w16cid:durableId="1161383924">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1253"/>
    <w:rsid w:val="000661F2"/>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12F"/>
    <w:rsid w:val="007113EA"/>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22F58"/>
    <w:rsid w:val="00924F4C"/>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A072B4"/>
    <w:rsid w:val="00A12871"/>
    <w:rsid w:val="00A2262B"/>
    <w:rsid w:val="00A251F1"/>
    <w:rsid w:val="00A31E1F"/>
    <w:rsid w:val="00A35173"/>
    <w:rsid w:val="00A426E9"/>
    <w:rsid w:val="00A50F5E"/>
    <w:rsid w:val="00A523F4"/>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F0849"/>
    <w:rsid w:val="00B0342E"/>
    <w:rsid w:val="00B140A6"/>
    <w:rsid w:val="00B200DA"/>
    <w:rsid w:val="00B20981"/>
    <w:rsid w:val="00B25AA8"/>
    <w:rsid w:val="00B27792"/>
    <w:rsid w:val="00B33994"/>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4572</Words>
  <Characters>26753</Characters>
  <Application>Microsoft Office Word</Application>
  <DocSecurity>0</DocSecurity>
  <Lines>311</Lines>
  <Paragraphs>45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31280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6</cp:revision>
  <cp:lastPrinted>2013-09-27T05:05:00Z</cp:lastPrinted>
  <dcterms:created xsi:type="dcterms:W3CDTF">2023-02-19T20:22:00Z</dcterms:created>
  <dcterms:modified xsi:type="dcterms:W3CDTF">2023-02-19T21:57:00Z</dcterms:modified>
</cp:coreProperties>
</file>