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Default="00D67F7E" w:rsidP="00F87BB0">
      <w:pPr>
        <w:rPr>
          <w:color w:val="A8D08D" w:themeColor="accent6" w:themeTint="99"/>
          <w:lang w:val="en-US"/>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r w:rsidRPr="00D4455F">
        <w:rPr>
          <w:b/>
          <w:bCs/>
        </w:rPr>
        <w:t>Reviewer #2</w:t>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1"/>
      <w:r w:rsidR="00F87BB0">
        <w:t>ovelty of the paradigm.</w:t>
      </w:r>
      <w:commentRangeEnd w:id="11"/>
      <w:r>
        <w:rPr>
          <w:rStyle w:val="CommentReference"/>
        </w:rPr>
        <w:commentReference w:id="11"/>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2"/>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3"/>
      <w:r w:rsidRPr="00682F63">
        <w:rPr>
          <w:highlight w:val="yellow"/>
        </w:rPr>
        <w:t>the</w:t>
      </w:r>
      <w:commentRangeEnd w:id="13"/>
      <w:r w:rsidR="00682F63">
        <w:rPr>
          <w:rStyle w:val="CommentReference"/>
        </w:rPr>
        <w:commentReference w:id="13"/>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2"/>
      <w:r w:rsidR="00D67F7E">
        <w:rPr>
          <w:rStyle w:val="CommentReference"/>
        </w:rPr>
        <w:commentReference w:id="12"/>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4"/>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4"/>
      <w:r>
        <w:rPr>
          <w:rStyle w:val="CommentReference"/>
        </w:rPr>
        <w:commentReference w:id="14"/>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5"/>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5"/>
      <w:r w:rsidRPr="00D67F7E">
        <w:rPr>
          <w:rStyle w:val="CommentReference"/>
          <w:color w:val="A8D08D" w:themeColor="accent6" w:themeTint="99"/>
        </w:rPr>
        <w:commentReference w:id="15"/>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6"/>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6"/>
      <w:r w:rsidR="00D4455F">
        <w:rPr>
          <w:rStyle w:val="CommentReference"/>
        </w:rPr>
        <w:commentReference w:id="16"/>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7"/>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7"/>
      <w:r>
        <w:rPr>
          <w:rStyle w:val="CommentReference"/>
        </w:rPr>
        <w:commentReference w:id="17"/>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77777777" w:rsidR="00D67F7E" w:rsidRPr="00D67F7E" w:rsidRDefault="00D67F7E" w:rsidP="00F87BB0">
      <w:pPr>
        <w:rPr>
          <w:color w:val="A8D08D" w:themeColor="accent6" w:themeTint="99"/>
          <w:lang w:val="en-US"/>
        </w:rPr>
      </w:pPr>
      <w:r w:rsidRPr="00D67F7E">
        <w:rPr>
          <w:color w:val="A8D08D" w:themeColor="accent6" w:themeTint="99"/>
          <w:lang w:val="en-US"/>
        </w:rPr>
        <w:t xml:space="preserve">We are, of course, inspired by the seminal work by Logan et al. (as well as other early works from the McClelland lab) on distributional learning over speech inputs. But this and similar study look at how adaptation unfolds over much longer periods of time (weeks!). This makes sense, of course, given that these studies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18"/>
      <w:r w:rsidRPr="00D67F7E">
        <w:rPr>
          <w:color w:val="A8D08D" w:themeColor="accent6" w:themeTint="99"/>
          <w:lang w:val="en-US"/>
        </w:rPr>
        <w:t>Zheng &amp; Samuels, 2020; Baese-Berk, 2018; Bent &amp; Baese-Berk, 2021; Xie et al., 2023</w:t>
      </w:r>
      <w:commentRangeEnd w:id="18"/>
      <w:r w:rsidRPr="00D67F7E">
        <w:rPr>
          <w:rStyle w:val="CommentReference"/>
          <w:color w:val="A8D08D" w:themeColor="accent6" w:themeTint="99"/>
        </w:rPr>
        <w:commentReference w:id="18"/>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47F861E1" w:rsidR="00D67F7E" w:rsidRPr="00D67F7E" w:rsidRDefault="00D67F7E" w:rsidP="00F87BB0">
      <w:pPr>
        <w:rPr>
          <w:color w:val="A8D08D" w:themeColor="accent6" w:themeTint="99"/>
          <w:lang w:val="en-US"/>
        </w:rPr>
      </w:pPr>
      <w:r w:rsidRPr="00D67F7E">
        <w:rPr>
          <w:color w:val="A8D08D" w:themeColor="accent6" w:themeTint="99"/>
          <w:lang w:val="en-US"/>
        </w:rPr>
        <w:t xml:space="preserve">The importance to not taking for granted that different paradigm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19"/>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19"/>
      <w:r w:rsidR="00D67F7E">
        <w:rPr>
          <w:rStyle w:val="CommentReference"/>
        </w:rPr>
        <w:commentReference w:id="19"/>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p. 9, l. 209: Figure 2C -&gt; Figure 2D</w:t>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0"/>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0"/>
      <w:r>
        <w:rPr>
          <w:rStyle w:val="CommentReference"/>
        </w:rPr>
        <w:commentReference w:id="20"/>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1"/>
      <w:commentRangeStart w:id="22"/>
      <w:r w:rsidRPr="00D67F7E">
        <w:rPr>
          <w:i/>
          <w:iCs/>
          <w:color w:val="A8D08D" w:themeColor="accent6" w:themeTint="99"/>
        </w:rPr>
        <w:t>them</w:t>
      </w:r>
      <w:commentRangeEnd w:id="21"/>
      <w:r>
        <w:rPr>
          <w:rStyle w:val="CommentReference"/>
        </w:rPr>
        <w:commentReference w:id="21"/>
      </w:r>
      <w:commentRangeEnd w:id="22"/>
      <w:r w:rsidR="000345BA">
        <w:rPr>
          <w:rStyle w:val="CommentReference"/>
        </w:rPr>
        <w:commentReference w:id="22"/>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23"/>
      <w:r>
        <w:t>p. 23, footnote 7: This is confusing. Why use a test and then say it isn't appropriate?</w:t>
      </w:r>
      <w:commentRangeEnd w:id="23"/>
      <w:r w:rsidR="00D67F7E">
        <w:rPr>
          <w:rStyle w:val="CommentReference"/>
        </w:rPr>
        <w:commentReference w:id="23"/>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24"/>
      <w:r>
        <w:t>This currently has to be inferred from the main text.</w:t>
      </w:r>
      <w:commentRangeEnd w:id="24"/>
      <w:r w:rsidR="00D67F7E">
        <w:rPr>
          <w:rStyle w:val="CommentReference"/>
        </w:rPr>
        <w:commentReference w:id="24"/>
      </w:r>
    </w:p>
    <w:p w14:paraId="080B031F" w14:textId="2D7C936C" w:rsidR="00F87BB0" w:rsidRPr="00D4455F" w:rsidRDefault="00F87BB0" w:rsidP="00F87BB0">
      <w:pPr>
        <w:rPr>
          <w:lang w:val="en-US"/>
        </w:rPr>
      </w:pPr>
      <w:r>
        <w:t>p. 29, l. 598 : Panel B -&gt; Panel D</w:t>
      </w:r>
    </w:p>
    <w:p w14:paraId="3314C64F" w14:textId="1F30636A" w:rsidR="00F87BB0" w:rsidRPr="00D4455F" w:rsidRDefault="00F87BB0" w:rsidP="00F87BB0">
      <w:pPr>
        <w:rPr>
          <w:lang w:val="en-US"/>
        </w:rPr>
      </w:pPr>
      <w:r>
        <w:t xml:space="preserve">p. 30: </w:t>
      </w:r>
      <w:commentRangeStart w:id="25"/>
      <w:commentRangeStart w:id="26"/>
      <w:r>
        <w:t>Figure 7 is not discussed in the main text.</w:t>
      </w:r>
      <w:commentRangeEnd w:id="25"/>
      <w:r w:rsidR="00D67F7E">
        <w:rPr>
          <w:rStyle w:val="CommentReference"/>
        </w:rPr>
        <w:commentReference w:id="25"/>
      </w:r>
      <w:commentRangeEnd w:id="26"/>
      <w:r w:rsidR="0007403C">
        <w:rPr>
          <w:rStyle w:val="CommentReference"/>
        </w:rPr>
        <w:commentReference w:id="26"/>
      </w:r>
    </w:p>
    <w:p w14:paraId="46F50A0B" w14:textId="1E62906F" w:rsidR="00F87BB0" w:rsidRPr="00D4455F" w:rsidRDefault="00F87BB0" w:rsidP="00F87BB0">
      <w:pPr>
        <w:rPr>
          <w:lang w:val="en-US"/>
        </w:rPr>
      </w:pPr>
      <w:r>
        <w:t xml:space="preserve">p. 32: </w:t>
      </w:r>
      <w:commentRangeStart w:id="27"/>
      <w:r>
        <w:t>Spell out VG and LG in VGPL and LGPL on first use of these abbreviations.</w:t>
      </w:r>
      <w:commentRangeEnd w:id="27"/>
      <w:r w:rsidR="00B12756">
        <w:rPr>
          <w:rStyle w:val="CommentReference"/>
        </w:rPr>
        <w:commentReference w:id="27"/>
      </w:r>
    </w:p>
    <w:p w14:paraId="418F2D60" w14:textId="77777777" w:rsidR="00F87BB0" w:rsidRDefault="00F87BB0" w:rsidP="00F87BB0">
      <w:r>
        <w:t xml:space="preserve">p. 40, l. 887: improve -&gt; </w:t>
      </w:r>
      <w:commentRangeStart w:id="28"/>
      <w:r>
        <w:t>approach</w:t>
      </w:r>
      <w:commentRangeEnd w:id="28"/>
      <w:r w:rsidR="0007403C">
        <w:rPr>
          <w:rStyle w:val="CommentReference"/>
        </w:rPr>
        <w:commentReference w:id="28"/>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29"/>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29"/>
      <w:r>
        <w:rPr>
          <w:rStyle w:val="CommentReference"/>
        </w:rPr>
        <w:commentReference w:id="29"/>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30"/>
      <w:commentRangeStart w:id="31"/>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30"/>
      <w:r>
        <w:rPr>
          <w:rStyle w:val="CommentReference"/>
        </w:rPr>
        <w:commentReference w:id="30"/>
      </w:r>
      <w:commentRangeEnd w:id="31"/>
      <w:r>
        <w:rPr>
          <w:rStyle w:val="CommentReference"/>
        </w:rPr>
        <w:commentReference w:id="31"/>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32"/>
      <w:r w:rsidRPr="009B0365">
        <w:rPr>
          <w:color w:val="A8D08D" w:themeColor="accent6" w:themeTint="99"/>
          <w:lang w:val="en-US"/>
        </w:rPr>
        <w:t>HERE</w:t>
      </w:r>
      <w:commentRangeEnd w:id="32"/>
      <w:r>
        <w:rPr>
          <w:rStyle w:val="CommentReference"/>
        </w:rPr>
        <w:commentReference w:id="32"/>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33"/>
      <w:r>
        <w:t xml:space="preserve">assume </w:t>
      </w:r>
      <w:commentRangeEnd w:id="33"/>
      <w:r w:rsidR="00682F63">
        <w:rPr>
          <w:rStyle w:val="CommentReference"/>
        </w:rPr>
        <w:commentReference w:id="33"/>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34"/>
      <w:commentRangeStart w:id="35"/>
      <w:r w:rsidRPr="000D1ED8">
        <w:rPr>
          <w:highlight w:val="yellow"/>
        </w:rPr>
        <w:t>preregistered</w:t>
      </w:r>
      <w:commentRangeEnd w:id="34"/>
      <w:r w:rsidR="000D1ED8">
        <w:rPr>
          <w:rStyle w:val="CommentReference"/>
        </w:rPr>
        <w:commentReference w:id="34"/>
      </w:r>
      <w:commentRangeEnd w:id="35"/>
      <w:r w:rsidR="009B0365">
        <w:rPr>
          <w:rStyle w:val="CommentReference"/>
        </w:rPr>
        <w:commentReference w:id="35"/>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36"/>
      <w:r>
        <w:t>But even then it would be very useful to include a sensitivity/minimum detectable effect analysis to help the reader understand what kind of effects could be detected.</w:t>
      </w:r>
      <w:commentRangeEnd w:id="36"/>
      <w:r w:rsidR="009B0365">
        <w:rPr>
          <w:rStyle w:val="CommentReference"/>
        </w:rPr>
        <w:commentReference w:id="36"/>
      </w:r>
    </w:p>
    <w:p w14:paraId="71981EF9" w14:textId="77777777" w:rsidR="00F87BB0" w:rsidRDefault="00F87BB0" w:rsidP="00F87BB0"/>
    <w:p w14:paraId="73E92619" w14:textId="77777777" w:rsidR="00F87BB0" w:rsidRDefault="00F87BB0" w:rsidP="00F87BB0">
      <w:r>
        <w:t xml:space="preserve">* </w:t>
      </w:r>
      <w:commentRangeStart w:id="37"/>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37"/>
      <w:r w:rsidR="009B0365">
        <w:rPr>
          <w:rStyle w:val="CommentReference"/>
        </w:rPr>
        <w:commentReference w:id="37"/>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38"/>
      <w:commentRangeStart w:id="39"/>
      <w:r w:rsidRPr="00DF3B8D">
        <w:rPr>
          <w:highlight w:val="yellow"/>
        </w:rPr>
        <w:t>presumption</w:t>
      </w:r>
      <w:commentRangeEnd w:id="38"/>
      <w:r w:rsidR="00DF3B8D">
        <w:rPr>
          <w:rStyle w:val="CommentReference"/>
        </w:rPr>
        <w:commentReference w:id="38"/>
      </w:r>
      <w:commentRangeEnd w:id="39"/>
      <w:r w:rsidR="009B0365">
        <w:rPr>
          <w:rStyle w:val="CommentReference"/>
        </w:rPr>
        <w:commentReference w:id="39"/>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40"/>
      <w:r w:rsidRPr="004C4C4A">
        <w:rPr>
          <w:highlight w:val="yellow"/>
        </w:rPr>
        <w:t>adapts</w:t>
      </w:r>
      <w:commentRangeEnd w:id="40"/>
      <w:r w:rsidR="004C4C4A">
        <w:rPr>
          <w:rStyle w:val="CommentReference"/>
        </w:rPr>
        <w:commentReference w:id="40"/>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41"/>
      <w:commentRangeStart w:id="42"/>
      <w:r w:rsidRPr="004C4C4A">
        <w:rPr>
          <w:highlight w:val="yellow"/>
        </w:rPr>
        <w:t>variance</w:t>
      </w:r>
      <w:commentRangeEnd w:id="41"/>
      <w:r w:rsidR="004C4C4A">
        <w:rPr>
          <w:rStyle w:val="CommentReference"/>
        </w:rPr>
        <w:commentReference w:id="41"/>
      </w:r>
      <w:commentRangeEnd w:id="42"/>
      <w:r w:rsidR="009B0365">
        <w:rPr>
          <w:rStyle w:val="CommentReference"/>
        </w:rPr>
        <w:commentReference w:id="42"/>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43"/>
      <w:r w:rsidRPr="004C4C4A">
        <w:rPr>
          <w:highlight w:val="yellow"/>
        </w:rPr>
        <w:t>unsupervised</w:t>
      </w:r>
      <w:commentRangeEnd w:id="43"/>
      <w:r w:rsidR="004C4C4A">
        <w:rPr>
          <w:rStyle w:val="CommentReference"/>
        </w:rPr>
        <w:commentReference w:id="43"/>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44"/>
      <w:commentRangeStart w:id="45"/>
      <w:commentRangeStart w:id="46"/>
      <w:r>
        <w:t xml:space="preserve">But this is not what the field is likely to </w:t>
      </w:r>
      <w:r>
        <w:lastRenderedPageBreak/>
        <w:t xml:space="preserve">expect from the term. It likely also affects learning in fairly dramatic ways (supervised and unsupervised learning are widely seen to have pretty different properties). </w:t>
      </w:r>
      <w:commentRangeEnd w:id="44"/>
      <w:r w:rsidR="009B0365">
        <w:rPr>
          <w:rStyle w:val="CommentReference"/>
        </w:rPr>
        <w:commentReference w:id="44"/>
      </w:r>
      <w:commentRangeEnd w:id="45"/>
      <w:r w:rsidR="009B0365">
        <w:rPr>
          <w:rStyle w:val="CommentReference"/>
        </w:rPr>
        <w:commentReference w:id="45"/>
      </w:r>
      <w:commentRangeEnd w:id="46"/>
      <w:r w:rsidR="009B0365">
        <w:rPr>
          <w:rStyle w:val="CommentReference"/>
        </w:rPr>
        <w:commentReference w:id="46"/>
      </w:r>
      <w:r w:rsidRPr="004C4C4A">
        <w:rPr>
          <w:highlight w:val="yellow"/>
        </w:rPr>
        <w:t>One of the things I didn't like about the introduction is that all perceptual adaptation paradigms are kind of treated the same</w:t>
      </w:r>
      <w:commentRangeStart w:id="47"/>
      <w:r w:rsidRPr="004C4C4A">
        <w:rPr>
          <w:highlight w:val="yellow"/>
        </w:rPr>
        <w:t>: lexically guided retuning is the same as distributional learning</w:t>
      </w:r>
      <w:commentRangeEnd w:id="47"/>
      <w:r w:rsidR="009B0365">
        <w:rPr>
          <w:rStyle w:val="CommentReference"/>
        </w:rPr>
        <w:commentReference w:id="47"/>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67C7C78" w14:textId="77777777" w:rsidR="00F87BB0"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48"/>
      <w:commentRangeStart w:id="49"/>
      <w:r w:rsidRPr="004C4C4A">
        <w:rPr>
          <w:highlight w:val="yellow"/>
        </w:rPr>
        <w:t>visualization</w:t>
      </w:r>
      <w:commentRangeEnd w:id="48"/>
      <w:r w:rsidR="004C4C4A">
        <w:rPr>
          <w:rStyle w:val="CommentReference"/>
        </w:rPr>
        <w:commentReference w:id="48"/>
      </w:r>
      <w:commentRangeEnd w:id="49"/>
      <w:r w:rsidR="009B0365">
        <w:rPr>
          <w:rStyle w:val="CommentReference"/>
        </w:rPr>
        <w:commentReference w:id="49"/>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50"/>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50"/>
      <w:r w:rsidR="009B0365">
        <w:rPr>
          <w:rStyle w:val="CommentReference"/>
        </w:rPr>
        <w:commentReference w:id="50"/>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51"/>
      <w:commentRangeStart w:id="52"/>
      <w:r w:rsidRPr="00B426CB">
        <w:rPr>
          <w:highlight w:val="yellow"/>
        </w:rPr>
        <w:t>the</w:t>
      </w:r>
      <w:commentRangeEnd w:id="51"/>
      <w:r w:rsidR="00B426CB">
        <w:rPr>
          <w:rStyle w:val="CommentReference"/>
        </w:rPr>
        <w:commentReference w:id="51"/>
      </w:r>
      <w:commentRangeEnd w:id="52"/>
      <w:r w:rsidR="009B0365">
        <w:rPr>
          <w:rStyle w:val="CommentReference"/>
        </w:rPr>
        <w:commentReference w:id="52"/>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lastRenderedPageBreak/>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53"/>
      <w:r w:rsidRPr="00B426CB">
        <w:rPr>
          <w:highlight w:val="yellow"/>
        </w:rPr>
        <w:t>truth</w:t>
      </w:r>
      <w:commentRangeEnd w:id="53"/>
      <w:r w:rsidR="00B426CB">
        <w:rPr>
          <w:rStyle w:val="CommentReference"/>
        </w:rPr>
        <w:commentReference w:id="53"/>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54"/>
      <w:commentRangeStart w:id="55"/>
      <w:r w:rsidRPr="00B426CB">
        <w:rPr>
          <w:highlight w:val="yellow"/>
        </w:rPr>
        <w:t>multiple</w:t>
      </w:r>
      <w:commentRangeEnd w:id="54"/>
      <w:r w:rsidR="00B426CB">
        <w:rPr>
          <w:rStyle w:val="CommentReference"/>
        </w:rPr>
        <w:commentReference w:id="54"/>
      </w:r>
      <w:commentRangeEnd w:id="55"/>
      <w:r w:rsidR="009B0365">
        <w:rPr>
          <w:rStyle w:val="CommentReference"/>
        </w:rPr>
        <w:commentReference w:id="55"/>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56"/>
      <w:r>
        <w:t xml:space="preserve">? </w:t>
      </w:r>
      <w:r w:rsidRPr="00B426CB">
        <w:rPr>
          <w:highlight w:val="yellow"/>
        </w:rPr>
        <w:t xml:space="preserve">Why make your audience learn a new </w:t>
      </w:r>
      <w:commentRangeStart w:id="57"/>
      <w:r w:rsidRPr="00B426CB">
        <w:rPr>
          <w:highlight w:val="yellow"/>
        </w:rPr>
        <w:t>term</w:t>
      </w:r>
      <w:commentRangeEnd w:id="57"/>
      <w:r w:rsidR="00B426CB">
        <w:rPr>
          <w:rStyle w:val="CommentReference"/>
        </w:rPr>
        <w:commentReference w:id="57"/>
      </w:r>
      <w:r>
        <w:t xml:space="preserve">? </w:t>
      </w:r>
      <w:commentRangeEnd w:id="56"/>
      <w:r w:rsidR="009B0365">
        <w:rPr>
          <w:rStyle w:val="CommentReference"/>
        </w:rPr>
        <w:commentReference w:id="56"/>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58"/>
      <w:r w:rsidRPr="00B426CB">
        <w:rPr>
          <w:highlight w:val="yellow"/>
        </w:rPr>
        <w:t>presented</w:t>
      </w:r>
      <w:commentRangeEnd w:id="58"/>
      <w:r w:rsidR="00B426CB">
        <w:rPr>
          <w:rStyle w:val="CommentReference"/>
        </w:rPr>
        <w:commentReference w:id="58"/>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w:t>
      </w:r>
      <w:r>
        <w:lastRenderedPageBreak/>
        <w:t>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59"/>
      <w:commentRangeStart w:id="60"/>
      <w:r w:rsidRPr="00682F63">
        <w:rPr>
          <w:highlight w:val="yellow"/>
        </w:rPr>
        <w:t>non</w:t>
      </w:r>
      <w:commentRangeEnd w:id="59"/>
      <w:r w:rsidR="00682F63">
        <w:rPr>
          <w:rStyle w:val="CommentReference"/>
        </w:rPr>
        <w:commentReference w:id="59"/>
      </w:r>
      <w:commentRangeEnd w:id="60"/>
      <w:r w:rsidR="009B0365">
        <w:rPr>
          <w:rStyle w:val="CommentReference"/>
        </w:rPr>
        <w:commentReference w:id="60"/>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61"/>
      <w:r w:rsidRPr="009B0365">
        <w:rPr>
          <w:b/>
          <w:bCs/>
          <w:color w:val="A8D08D" w:themeColor="accent6" w:themeTint="99"/>
          <w:lang w:val="en-US"/>
        </w:rPr>
        <w:t>XXX</w:t>
      </w:r>
      <w:commentRangeEnd w:id="61"/>
      <w:r w:rsidRPr="009B0365">
        <w:rPr>
          <w:rStyle w:val="CommentReference"/>
          <w:color w:val="A8D08D" w:themeColor="accent6" w:themeTint="99"/>
        </w:rPr>
        <w:commentReference w:id="61"/>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62"/>
      <w:r>
        <w:rPr>
          <w:color w:val="A8D08D" w:themeColor="accent6" w:themeTint="99"/>
          <w:lang w:val="en-US"/>
        </w:rPr>
        <w:t>for items.</w:t>
      </w:r>
      <w:commentRangeEnd w:id="62"/>
      <w:r>
        <w:rPr>
          <w:rStyle w:val="CommentReference"/>
        </w:rPr>
        <w:commentReference w:id="62"/>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lastRenderedPageBreak/>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562251E2" w:rsidR="00273D8E" w:rsidRDefault="00273D8E">
      <w:pPr>
        <w:pStyle w:val="CommentText"/>
      </w:pPr>
      <w:r>
        <w:rPr>
          <w:rStyle w:val="CommentReference"/>
        </w:rPr>
        <w:annotationRef/>
      </w:r>
      <w:r>
        <w:t>Made edits. Have not found M.M. in the text but will look through manually.</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3"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2"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4"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5"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6"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7"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18"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19"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0"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1"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22" w:author="Microsoft Office User" w:date="2024-09-30T22:15:00Z" w:initials="MOU">
    <w:p w14:paraId="0B6AB204" w14:textId="01EF818E" w:rsidR="000345BA" w:rsidRDefault="000345BA">
      <w:pPr>
        <w:pStyle w:val="CommentText"/>
      </w:pPr>
      <w:r>
        <w:rPr>
          <w:rStyle w:val="CommentReference"/>
        </w:rPr>
        <w:annotationRef/>
      </w:r>
      <w:r>
        <w:t>Changed.</w:t>
      </w:r>
    </w:p>
  </w:comment>
  <w:comment w:id="23"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4"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5"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26" w:author="Microsoft Office User" w:date="2024-09-30T22:44:00Z" w:initials="MOU">
    <w:p w14:paraId="334CE6B2" w14:textId="16541156" w:rsidR="0007403C" w:rsidRDefault="0007403C">
      <w:pPr>
        <w:pStyle w:val="CommentText"/>
      </w:pPr>
      <w:r>
        <w:rPr>
          <w:rStyle w:val="CommentReference"/>
        </w:rPr>
        <w:annotationRef/>
      </w:r>
      <w:r>
        <w:t>Done</w:t>
      </w:r>
    </w:p>
  </w:comment>
  <w:comment w:id="27" w:author="Microsoft Office User" w:date="2024-09-30T22:26:00Z" w:initials="MOU">
    <w:p w14:paraId="5352D729" w14:textId="7110D0BE" w:rsidR="00B12756" w:rsidRDefault="00B12756">
      <w:pPr>
        <w:pStyle w:val="CommentText"/>
      </w:pPr>
      <w:r>
        <w:rPr>
          <w:rStyle w:val="CommentReference"/>
        </w:rPr>
        <w:annotationRef/>
      </w:r>
      <w:r>
        <w:t>Done.</w:t>
      </w:r>
    </w:p>
  </w:comment>
  <w:comment w:id="28" w:author="Microsoft Office User" w:date="2024-09-30T22:44:00Z" w:initials="MOU">
    <w:p w14:paraId="3229C631" w14:textId="00BB817F" w:rsidR="0007403C" w:rsidRDefault="0007403C">
      <w:pPr>
        <w:pStyle w:val="CommentText"/>
      </w:pPr>
      <w:r>
        <w:rPr>
          <w:rStyle w:val="CommentReference"/>
        </w:rPr>
        <w:annotationRef/>
      </w:r>
      <w:r>
        <w:t>Done.</w:t>
      </w:r>
    </w:p>
  </w:comment>
  <w:comment w:id="29"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30"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31"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32"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33"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34"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35"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36"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37"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38"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39"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40"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41"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42"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43"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44"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45"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46"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47"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48"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49"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50"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51"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52"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53"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54"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55"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57"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56"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58"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59"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60"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61"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62"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7084444B" w15:done="0"/>
  <w15:commentEx w15:paraId="5077F319" w15:done="0"/>
  <w15:commentEx w15:paraId="4CBA2682" w15:done="0"/>
  <w15:commentEx w15:paraId="0B6AB204" w15:paraIdParent="4CBA2682" w15:done="0"/>
  <w15:commentEx w15:paraId="773E630E" w15:done="0"/>
  <w15:commentEx w15:paraId="4E7B8B70"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31FBEB6E" w16cex:dateUtc="2024-09-30T15:18: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7084444B" w16cid:durableId="31FBEB6E"/>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4"/>
  </w:num>
  <w:num w:numId="3" w16cid:durableId="448280709">
    <w:abstractNumId w:val="3"/>
  </w:num>
  <w:num w:numId="4" w16cid:durableId="780615311">
    <w:abstractNumId w:val="1"/>
  </w:num>
  <w:num w:numId="5" w16cid:durableId="5673082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403C"/>
    <w:rsid w:val="000D1ED8"/>
    <w:rsid w:val="00273D8E"/>
    <w:rsid w:val="002F790B"/>
    <w:rsid w:val="004C4C4A"/>
    <w:rsid w:val="00682F63"/>
    <w:rsid w:val="006F56C0"/>
    <w:rsid w:val="00703C18"/>
    <w:rsid w:val="009B0365"/>
    <w:rsid w:val="009E247B"/>
    <w:rsid w:val="00B12756"/>
    <w:rsid w:val="00B426CB"/>
    <w:rsid w:val="00BD3B70"/>
    <w:rsid w:val="00D4455F"/>
    <w:rsid w:val="00D67F7E"/>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8256</Words>
  <Characters>47060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2024-09-29T21:12:00Z</dcterms:created>
  <dcterms:modified xsi:type="dcterms:W3CDTF">2024-09-30T20:44:00Z</dcterms:modified>
</cp:coreProperties>
</file>