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 xml:space="preserve">Whether exposure affects subsequent perception relative to some other exposure conditions, without any prediction about the direction of the effect (e.g., accuracy after exposure </w:t>
      </w:r>
      <w:proofErr w:type="gramStart"/>
      <w:r>
        <w:rPr>
          <w:sz w:val="22"/>
          <w:szCs w:val="22"/>
        </w:rPr>
        <w:t>A !</w:t>
      </w:r>
      <w:proofErr w:type="gramEnd"/>
      <w:r>
        <w:rPr>
          <w:sz w:val="22"/>
          <w:szCs w:val="22"/>
        </w:rPr>
        <w:t>=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2127C0D6"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 xml:space="preserve">us—each of which is predicted to have a unique </w:t>
      </w:r>
      <w:proofErr w:type="gramStart"/>
      <w:r w:rsidR="00BC46A1">
        <w:rPr>
          <w:sz w:val="22"/>
          <w:szCs w:val="22"/>
        </w:rPr>
        <w:t>p(</w:t>
      </w:r>
      <w:proofErr w:type="gramEnd"/>
      <w:r w:rsidR="00BC46A1">
        <w:rPr>
          <w:sz w:val="22"/>
          <w:szCs w:val="22"/>
        </w:rPr>
        <w:t>“t”-response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w:t>
      </w:r>
      <w:r w:rsidR="001564E1">
        <w:rPr>
          <w:sz w:val="22"/>
          <w:szCs w:val="22"/>
        </w:rPr>
        <w:lastRenderedPageBreak/>
        <w:t xml:space="preserve">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A278FC8" w14:textId="63447333" w:rsidR="00FB6597" w:rsidRDefault="00FB6597" w:rsidP="000A00C6">
      <w:pPr>
        <w:pStyle w:val="ListParagraph"/>
        <w:numPr>
          <w:ilvl w:val="0"/>
          <w:numId w:val="57"/>
        </w:numPr>
        <w:rPr>
          <w:sz w:val="22"/>
          <w:szCs w:val="22"/>
        </w:rPr>
      </w:pPr>
      <w:r>
        <w:rPr>
          <w:sz w:val="22"/>
          <w:szCs w:val="22"/>
        </w:rPr>
        <w:t>Title</w:t>
      </w:r>
    </w:p>
    <w:p w14:paraId="449AE52A" w14:textId="64836A2C" w:rsidR="00FB6597" w:rsidRDefault="00FB6597" w:rsidP="00FB6597">
      <w:pPr>
        <w:pStyle w:val="ListParagraph"/>
        <w:numPr>
          <w:ilvl w:val="1"/>
          <w:numId w:val="57"/>
        </w:numPr>
        <w:ind w:left="720"/>
        <w:rPr>
          <w:sz w:val="22"/>
          <w:szCs w:val="22"/>
        </w:rPr>
      </w:pPr>
      <w:r>
        <w:rPr>
          <w:sz w:val="22"/>
          <w:szCs w:val="22"/>
        </w:rPr>
        <w:t>We changed the title more clearly signal the goals of the paper. It now reads: “Learning to understand an unfamiliar talker: Testing distributional learning as a model of rapid adaptation during speech perception”</w:t>
      </w:r>
    </w:p>
    <w:p w14:paraId="74A4BDE4" w14:textId="13C7FC52" w:rsidR="000A00C6" w:rsidRDefault="000A00C6" w:rsidP="000A00C6">
      <w:pPr>
        <w:pStyle w:val="ListParagraph"/>
        <w:numPr>
          <w:ilvl w:val="0"/>
          <w:numId w:val="57"/>
        </w:numPr>
        <w:rPr>
          <w:sz w:val="22"/>
          <w:szCs w:val="22"/>
        </w:rPr>
      </w:pPr>
      <w:r>
        <w:rPr>
          <w:sz w:val="22"/>
          <w:szCs w:val="22"/>
        </w:rPr>
        <w:t>Introduction</w:t>
      </w:r>
    </w:p>
    <w:p w14:paraId="5714D1EC" w14:textId="34A47FE3"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w:t>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commentRangeStart w:id="0"/>
      <w:r w:rsidRPr="00BF75CE">
        <w:rPr>
          <w:sz w:val="22"/>
          <w:szCs w:val="22"/>
          <w:highlight w:val="yellow"/>
        </w:rPr>
        <w:t>R1 &amp; R3</w:t>
      </w:r>
      <w:r>
        <w:rPr>
          <w:sz w:val="22"/>
          <w:szCs w:val="22"/>
        </w:rPr>
        <w:t>).</w:t>
      </w:r>
    </w:p>
    <w:p w14:paraId="7DF3AAEF" w14:textId="58C81724"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00D24A00">
        <w:rPr>
          <w:sz w:val="22"/>
          <w:szCs w:val="22"/>
          <w:highlight w:val="yellow"/>
        </w:rPr>
        <w:t>3</w:t>
      </w:r>
      <w:r>
        <w:rPr>
          <w:sz w:val="22"/>
          <w:szCs w:val="22"/>
        </w:rPr>
        <w:t>)</w:t>
      </w:r>
      <w:commentRangeEnd w:id="0"/>
      <w:r w:rsidR="00724751">
        <w:rPr>
          <w:rStyle w:val="CommentReference"/>
        </w:rPr>
        <w:commentReference w:id="0"/>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Pr="002B75A6" w:rsidRDefault="004F7E07" w:rsidP="004F7E07">
      <w:pPr>
        <w:pStyle w:val="ListParagraph"/>
        <w:numPr>
          <w:ilvl w:val="0"/>
          <w:numId w:val="57"/>
        </w:numPr>
        <w:rPr>
          <w:sz w:val="22"/>
          <w:szCs w:val="22"/>
        </w:rPr>
      </w:pPr>
      <w:r w:rsidRPr="002B75A6">
        <w:rPr>
          <w:sz w:val="22"/>
          <w:szCs w:val="22"/>
        </w:rPr>
        <w:t>General discussion:</w:t>
      </w:r>
    </w:p>
    <w:p w14:paraId="49A1C781" w14:textId="77777777" w:rsidR="002B75A6" w:rsidRPr="002B75A6" w:rsidRDefault="002B75A6" w:rsidP="004F7E07">
      <w:pPr>
        <w:pStyle w:val="ListParagraph"/>
        <w:numPr>
          <w:ilvl w:val="1"/>
          <w:numId w:val="57"/>
        </w:numPr>
        <w:ind w:left="720"/>
        <w:rPr>
          <w:sz w:val="22"/>
          <w:szCs w:val="22"/>
        </w:rPr>
      </w:pPr>
      <w:r w:rsidRPr="002B75A6">
        <w:rPr>
          <w:sz w:val="22"/>
          <w:szCs w:val="22"/>
        </w:rPr>
        <w:t xml:space="preserve">We have restructured the general discussion to more explicitly discuss the different contributions of our paper. This includes a new section that briefly discusses the merits of quantitative tests of actual </w:t>
      </w:r>
      <w:r w:rsidRPr="002B75A6">
        <w:rPr>
          <w:i/>
          <w:iCs/>
          <w:sz w:val="22"/>
          <w:szCs w:val="22"/>
        </w:rPr>
        <w:t>models</w:t>
      </w:r>
      <w:r w:rsidRPr="002B75A6">
        <w:rPr>
          <w:sz w:val="22"/>
          <w:szCs w:val="22"/>
        </w:rPr>
        <w:t>.</w:t>
      </w:r>
    </w:p>
    <w:p w14:paraId="2C6EE5EF" w14:textId="353030AE" w:rsidR="00302047" w:rsidRPr="002B75A6" w:rsidRDefault="002B75A6" w:rsidP="002B75A6">
      <w:pPr>
        <w:pStyle w:val="ListParagraph"/>
        <w:numPr>
          <w:ilvl w:val="1"/>
          <w:numId w:val="57"/>
        </w:numPr>
        <w:ind w:left="720"/>
        <w:rPr>
          <w:sz w:val="22"/>
          <w:szCs w:val="22"/>
        </w:rPr>
      </w:pPr>
      <w:r w:rsidRPr="002B75A6">
        <w:rPr>
          <w:sz w:val="22"/>
          <w:szCs w:val="22"/>
        </w:rPr>
        <w:t xml:space="preserve">We now also anticipate that the discussion focuses on the most surprising result (failure to converge against distributions in the input). The section that discusses this finding has been moved </w:t>
      </w:r>
      <w:proofErr w:type="gramStart"/>
      <w:r w:rsidRPr="002B75A6">
        <w:rPr>
          <w:sz w:val="22"/>
          <w:szCs w:val="22"/>
        </w:rPr>
        <w:t>up, and</w:t>
      </w:r>
      <w:proofErr w:type="gramEnd"/>
      <w:r w:rsidRPr="002B75A6">
        <w:rPr>
          <w:sz w:val="22"/>
          <w:szCs w:val="22"/>
        </w:rPr>
        <w:t xml:space="preserve"> has been expanded to integrate feedback from reviewers.</w:t>
      </w:r>
    </w:p>
    <w:p w14:paraId="6589CEB0" w14:textId="77777777" w:rsidR="002B75A6" w:rsidRPr="002B75A6" w:rsidRDefault="002B75A6" w:rsidP="002B75A6">
      <w:pPr>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35E6DB7C" w14:textId="77777777" w:rsidR="002B75A6" w:rsidRDefault="002B75A6">
      <w:pPr>
        <w:ind w:firstLine="0"/>
        <w:jc w:val="left"/>
        <w:rPr>
          <w:rFonts w:ascii="Times New Roman" w:hAnsi="Times New Roman"/>
          <w:b/>
          <w:bCs/>
          <w:sz w:val="22"/>
          <w:szCs w:val="22"/>
        </w:rPr>
      </w:pPr>
      <w:r>
        <w:rPr>
          <w:rFonts w:ascii="Times New Roman" w:hAnsi="Times New Roman"/>
          <w:b/>
          <w:bCs/>
          <w:sz w:val="22"/>
          <w:szCs w:val="22"/>
        </w:rPr>
        <w:br w:type="page"/>
      </w:r>
    </w:p>
    <w:p w14:paraId="4801C2D6" w14:textId="204C9B19"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lastRenderedPageBreak/>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w:t>
      </w:r>
      <w:r w:rsidRPr="00293598">
        <w:rPr>
          <w:rFonts w:ascii="Times New Roman" w:hAnsi="Times New Roman"/>
          <w:sz w:val="22"/>
          <w:szCs w:val="22"/>
        </w:rPr>
        <w:lastRenderedPageBreak/>
        <w:t xml:space="preserve">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w:t>
      </w:r>
      <w:r w:rsidRPr="003310CA">
        <w:rPr>
          <w:rFonts w:ascii="Times New Roman" w:hAnsi="Times New Roman"/>
          <w:color w:val="00B050"/>
          <w:sz w:val="22"/>
          <w:szCs w:val="22"/>
          <w:u w:val="single"/>
        </w:rPr>
        <w:lastRenderedPageBreak/>
        <w:t>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w:t>
      </w:r>
      <w:r w:rsidR="00E15F8A" w:rsidRPr="00E15F8A">
        <w:rPr>
          <w:rFonts w:ascii="Times New Roman" w:hAnsi="Times New Roman"/>
          <w:color w:val="00B050"/>
          <w:sz w:val="22"/>
          <w:szCs w:val="22"/>
        </w:rPr>
        <w:lastRenderedPageBreak/>
        <w:t>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w:t>
      </w:r>
      <w:proofErr w:type="gramStart"/>
      <w:r w:rsidRPr="00D8768A">
        <w:rPr>
          <w:rFonts w:ascii="Times New Roman" w:hAnsi="Times New Roman"/>
          <w:color w:val="00B050"/>
          <w:sz w:val="22"/>
          <w:szCs w:val="22"/>
        </w:rPr>
        <w:t>a,b</w:t>
      </w:r>
      <w:proofErr w:type="gramEnd"/>
      <w:r w:rsidRPr="00D8768A">
        <w:rPr>
          <w:rFonts w:ascii="Times New Roman" w:hAnsi="Times New Roman"/>
          <w:color w:val="00B050"/>
          <w:sz w:val="22"/>
          <w:szCs w:val="22"/>
        </w:rPr>
        <w:t xml:space="preserve">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7FF83C64"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t>We have completely restructured the introduction to be clearer about our contributions. The same holds for the Methods and Results sections, which now hopefully are much clearer?</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 xml:space="preserve">We agree with the reviewer that there is a lot of evidence that is consistent with distributional learning. And—it seems like the reviewer—we consider distributional learning the most elegant (though perhaps not most parsimonious) explanation </w:t>
      </w:r>
      <w:proofErr w:type="gramStart"/>
      <w:r w:rsidR="0052216F">
        <w:rPr>
          <w:rFonts w:ascii="Times New Roman" w:hAnsi="Times New Roman"/>
          <w:color w:val="00B050"/>
          <w:sz w:val="22"/>
          <w:szCs w:val="22"/>
        </w:rPr>
        <w:t>a large number of</w:t>
      </w:r>
      <w:proofErr w:type="gramEnd"/>
      <w:r w:rsidR="0052216F">
        <w:rPr>
          <w:rFonts w:ascii="Times New Roman" w:hAnsi="Times New Roman"/>
          <w:color w:val="00B050"/>
          <w:sz w:val="22"/>
          <w:szCs w:val="22"/>
        </w:rPr>
        <w:t xml:space="preserve"> findings about speech perception. But there are reasons why others disagree. As the revised introduction clarifies, not everyone believes that listeners adapt by learning phonetic distributions. </w:t>
      </w:r>
      <w:proofErr w:type="gramStart"/>
      <w:r w:rsidR="0052216F">
        <w:rPr>
          <w:rFonts w:ascii="Times New Roman" w:hAnsi="Times New Roman"/>
          <w:color w:val="00B050"/>
          <w:sz w:val="22"/>
          <w:szCs w:val="22"/>
        </w:rPr>
        <w:t>And,</w:t>
      </w:r>
      <w:proofErr w:type="gramEnd"/>
      <w:r w:rsidR="0052216F">
        <w:rPr>
          <w:rFonts w:ascii="Times New Roman" w:hAnsi="Times New Roman"/>
          <w:color w:val="00B050"/>
          <w:sz w:val="22"/>
          <w:szCs w:val="22"/>
        </w:rPr>
        <w:t xml:space="preserve">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w:t>
      </w:r>
      <w:r w:rsidRPr="00423B7C">
        <w:rPr>
          <w:rFonts w:ascii="Times New Roman" w:hAnsi="Times New Roman"/>
          <w:sz w:val="22"/>
          <w:szCs w:val="22"/>
        </w:rPr>
        <w:lastRenderedPageBreak/>
        <w:t>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Our goal is to show the field 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w:t>
      </w:r>
      <w:r w:rsidRPr="00423B7C">
        <w:rPr>
          <w:rFonts w:ascii="Times New Roman" w:hAnsi="Times New Roman"/>
          <w:sz w:val="22"/>
          <w:szCs w:val="22"/>
        </w:rPr>
        <w:lastRenderedPageBreak/>
        <w:t xml:space="preserve">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w:t>
      </w:r>
      <w:r>
        <w:rPr>
          <w:rFonts w:ascii="Times New Roman" w:hAnsi="Times New Roman"/>
          <w:color w:val="00B050"/>
          <w:sz w:val="22"/>
          <w:szCs w:val="22"/>
        </w:rPr>
        <w:lastRenderedPageBreak/>
        <w:t xml:space="preserve">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Xie et al., 2023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xml:space="preserve">.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lastRenderedPageBreak/>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w:t>
      </w:r>
      <w:r w:rsidRPr="00423B7C">
        <w:rPr>
          <w:rFonts w:ascii="Times New Roman" w:hAnsi="Times New Roman"/>
          <w:sz w:val="22"/>
          <w:szCs w:val="22"/>
        </w:rPr>
        <w:lastRenderedPageBreak/>
        <w:t xml:space="preserve">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w:t>
      </w:r>
      <w:proofErr w:type="gramStart"/>
      <w:r w:rsidRPr="00D800AA">
        <w:rPr>
          <w:rFonts w:ascii="Times New Roman" w:hAnsi="Times New Roman"/>
          <w:color w:val="00B050"/>
          <w:sz w:val="22"/>
          <w:szCs w:val="22"/>
        </w:rPr>
        <w:t>above, and</w:t>
      </w:r>
      <w:proofErr w:type="gramEnd"/>
      <w:r w:rsidRPr="00D800AA">
        <w:rPr>
          <w:rFonts w:ascii="Times New Roman" w:hAnsi="Times New Roman"/>
          <w:color w:val="00B050"/>
          <w:sz w:val="22"/>
          <w:szCs w:val="22"/>
        </w:rPr>
        <w:t xml:space="preserve">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 xml:space="preserve">the type of paradigm we employ—presumably because unlabeled exposure to bimodal distributions contains quite a bit of information for listeners who are already </w:t>
      </w:r>
      <w:r w:rsidR="00296B57">
        <w:rPr>
          <w:rFonts w:ascii="Times New Roman" w:hAnsi="Times New Roman"/>
          <w:color w:val="00B050"/>
          <w:sz w:val="22"/>
          <w:szCs w:val="22"/>
        </w:rPr>
        <w:lastRenderedPageBreak/>
        <w:t>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The reviewer is also correct that considerations about the pros and cons of different paradigms informed our own choices, and this too should now be clearer.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w:t>
      </w:r>
      <w:r>
        <w:rPr>
          <w:rFonts w:ascii="Times New Roman" w:hAnsi="Times New Roman"/>
          <w:color w:val="00B050"/>
          <w:sz w:val="22"/>
          <w:szCs w:val="22"/>
        </w:rPr>
        <w:lastRenderedPageBreak/>
        <w:t xml:space="preserve">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use the term PSE (point of subjective equality) as the key DV in a lot of analyses. That seems like the right one, but why use that term? It's a fine term, and it comes out of the </w:t>
      </w:r>
      <w:r w:rsidRPr="00423B7C">
        <w:rPr>
          <w:rFonts w:ascii="Times New Roman" w:hAnsi="Times New Roman"/>
          <w:sz w:val="22"/>
          <w:szCs w:val="22"/>
        </w:rPr>
        <w:lastRenderedPageBreak/>
        <w:t>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xml:space="preserve">, 1996; McMurray, Horst, et al., 2009) and non-connectionist (McMurray, Aslin, et al., 2009; Toscano &amp; McMurray, 2010) approaches. And clear demonstrations that humans can do both phonetic category adaptation (Clayards et al., 2008) and </w:t>
      </w:r>
      <w:r w:rsidRPr="00423B7C">
        <w:rPr>
          <w:rFonts w:ascii="Times New Roman" w:hAnsi="Times New Roman"/>
          <w:sz w:val="22"/>
          <w:szCs w:val="22"/>
        </w:rPr>
        <w:lastRenderedPageBreak/>
        <w:t>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be </w:t>
      </w:r>
      <w:r w:rsidR="00A828E7" w:rsidRPr="00A828E7">
        <w:rPr>
          <w:rFonts w:ascii="Times New Roman" w:hAnsi="Times New Roman"/>
          <w:color w:val="00B050"/>
          <w:sz w:val="22"/>
          <w:szCs w:val="22"/>
        </w:rPr>
        <w:t>revisionist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3-01T18:20:00Z" w:initials="TJ">
    <w:p w14:paraId="2AF8DABC" w14:textId="2CB25E66" w:rsidR="00724751" w:rsidRDefault="00724751" w:rsidP="00724751">
      <w:pPr>
        <w:jc w:val="left"/>
      </w:pPr>
      <w:r>
        <w:rPr>
          <w:rStyle w:val="CommentReference"/>
        </w:rPr>
        <w:annotationRef/>
      </w:r>
      <w:r>
        <w:rPr>
          <w:color w:val="000000"/>
          <w:sz w:val="20"/>
          <w:szCs w:val="20"/>
        </w:rPr>
        <w:t xml:space="preserve">Why are these yellow highlighted?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F8D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6C21A0" w16cex:dateUtc="2025-03-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F8DABC" w16cid:durableId="156C2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865D5" w14:textId="77777777" w:rsidR="005C4391" w:rsidRDefault="005C4391" w:rsidP="00A70529">
      <w:r>
        <w:separator/>
      </w:r>
    </w:p>
  </w:endnote>
  <w:endnote w:type="continuationSeparator" w:id="0">
    <w:p w14:paraId="12AA63BD" w14:textId="77777777" w:rsidR="005C4391" w:rsidRDefault="005C4391"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2FE54" w14:textId="77777777" w:rsidR="005C4391" w:rsidRDefault="005C4391" w:rsidP="00A70529">
      <w:r>
        <w:separator/>
      </w:r>
    </w:p>
  </w:footnote>
  <w:footnote w:type="continuationSeparator" w:id="0">
    <w:p w14:paraId="5D3D26F6" w14:textId="77777777" w:rsidR="005C4391" w:rsidRDefault="005C4391"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96B57"/>
    <w:rsid w:val="002A5584"/>
    <w:rsid w:val="002A71F9"/>
    <w:rsid w:val="002B75A6"/>
    <w:rsid w:val="002E4539"/>
    <w:rsid w:val="002E5923"/>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22DD"/>
    <w:rsid w:val="004775AC"/>
    <w:rsid w:val="004850E4"/>
    <w:rsid w:val="00493E34"/>
    <w:rsid w:val="004959A2"/>
    <w:rsid w:val="0049633E"/>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5C4391"/>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24751"/>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A5AEB"/>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C52"/>
    <w:rsid w:val="00B146BA"/>
    <w:rsid w:val="00B16EB9"/>
    <w:rsid w:val="00B20981"/>
    <w:rsid w:val="00B20D7F"/>
    <w:rsid w:val="00B6418D"/>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44E24"/>
    <w:rsid w:val="00D7189C"/>
    <w:rsid w:val="00D800AA"/>
    <w:rsid w:val="00D83D95"/>
    <w:rsid w:val="00D8768A"/>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5AE1"/>
    <w:rsid w:val="00FA1C6C"/>
    <w:rsid w:val="00FB0745"/>
    <w:rsid w:val="00FB1F88"/>
    <w:rsid w:val="00FB6597"/>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22</Pages>
  <Words>12478</Words>
  <Characters>71129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83441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64</cp:revision>
  <cp:lastPrinted>2025-02-20T07:58:00Z</cp:lastPrinted>
  <dcterms:created xsi:type="dcterms:W3CDTF">2025-02-04T14:22:00Z</dcterms:created>
  <dcterms:modified xsi:type="dcterms:W3CDTF">2025-03-08T20:55:00Z</dcterms:modified>
</cp:coreProperties>
</file>