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60076"/>
      <w:bookmarkStart w:id="2" w:name="_Toc365765985"/>
      <w:bookmarkStart w:id="3" w:name="_Toc359960546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_Toc11279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_Toc11279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_Toc15491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_Toc6319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_Toc6319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_Toc196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1279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0267105"/>
      <w:bookmarkEnd w:id="7"/>
      <w:bookmarkStart w:id="8" w:name="_Toc359960547"/>
      <w:bookmarkEnd w:id="8"/>
      <w:bookmarkStart w:id="9" w:name="_Toc359960077"/>
      <w:bookmarkEnd w:id="9"/>
      <w:bookmarkStart w:id="10" w:name="_Toc365765986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5491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https://test-allsmile-1687181-1310014865.ap-shanghai.run.tcloudbase.com/user/login</w:t>
            </w:r>
            <w:bookmarkStart w:id="19" w:name="_GoBack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15" w:name="_Toc6319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196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r>
        <w:rPr>
          <w:rFonts w:hint="eastAsia"/>
          <w:lang w:val="en-US" w:eastAsia="zh-CN"/>
        </w:rPr>
        <w:t>2.2征求者注册</w:t>
      </w:r>
      <w:r>
        <w:t>接口</w:t>
      </w:r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D5F2261"/>
    <w:rsid w:val="0E815DA4"/>
    <w:rsid w:val="0F001F90"/>
    <w:rsid w:val="0FEC61F7"/>
    <w:rsid w:val="15CC6AEE"/>
    <w:rsid w:val="17105499"/>
    <w:rsid w:val="19581BEC"/>
    <w:rsid w:val="1AFA1C09"/>
    <w:rsid w:val="1B8F3DB2"/>
    <w:rsid w:val="1C484ACE"/>
    <w:rsid w:val="1C945396"/>
    <w:rsid w:val="1CEE15BF"/>
    <w:rsid w:val="20322F5E"/>
    <w:rsid w:val="259D2343"/>
    <w:rsid w:val="27B06F8F"/>
    <w:rsid w:val="29691AFE"/>
    <w:rsid w:val="2A934442"/>
    <w:rsid w:val="2CC5291E"/>
    <w:rsid w:val="2D2326B7"/>
    <w:rsid w:val="2D7B4FC0"/>
    <w:rsid w:val="2E8F08D4"/>
    <w:rsid w:val="3018449D"/>
    <w:rsid w:val="30971458"/>
    <w:rsid w:val="318347FA"/>
    <w:rsid w:val="33B448E8"/>
    <w:rsid w:val="34350F84"/>
    <w:rsid w:val="387F441F"/>
    <w:rsid w:val="3F593C22"/>
    <w:rsid w:val="40567698"/>
    <w:rsid w:val="437F1081"/>
    <w:rsid w:val="43F42078"/>
    <w:rsid w:val="457752E9"/>
    <w:rsid w:val="4CB33971"/>
    <w:rsid w:val="4F453DE7"/>
    <w:rsid w:val="505707E5"/>
    <w:rsid w:val="55221BBE"/>
    <w:rsid w:val="563611BE"/>
    <w:rsid w:val="56E7079F"/>
    <w:rsid w:val="5AB402DC"/>
    <w:rsid w:val="5F043FE9"/>
    <w:rsid w:val="5F3D094A"/>
    <w:rsid w:val="6504776E"/>
    <w:rsid w:val="6B4E7E48"/>
    <w:rsid w:val="6E71078A"/>
    <w:rsid w:val="712E5BB3"/>
    <w:rsid w:val="74FC6576"/>
    <w:rsid w:val="7AF54F26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452</Words>
  <Characters>919</Characters>
  <Lines>7</Lines>
  <Paragraphs>2</Paragraphs>
  <TotalTime>69</TotalTime>
  <ScaleCrop>false</ScaleCrop>
  <LinksUpToDate>false</LinksUpToDate>
  <CharactersWithSpaces>959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2022-04-19T02:52:57Z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8DA0F5AE4D17429BA47E5C5BB58E1A8D</vt:lpwstr>
  </property>
</Properties>
</file>