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52"/>
          <w:szCs w:val="52"/>
        </w:rPr>
        <w:t xml:space="preserve">Cryptographic Platform Architecture</w:t>
      </w:r>
    </w:p>
    <w:p>
      <w:pPr>
        <w:spacing w:after="60" w:before="0"/>
      </w:pPr>
      <w:r>
        <w:rPr>
          <w:rFonts w:ascii="Arial" w:cs="Arial" w:eastAsia="Arial" w:hAnsi="Arial"/>
          <w:color w:val="555555"/>
          <w:sz w:val="26"/>
          <w:szCs w:val="26"/>
        </w:rPr>
        <w:t xml:space="preserve">Design Document  ·  Draft v0.6</w:t>
      </w:r>
    </w:p>
    <w:p>
      <w:pPr>
        <w:pBdr>
          <w:bottom w:val="single" w:color="2E75B6" w:sz="12" w:space="6"/>
        </w:pBdr>
        <w:spacing w:after="240" w:before="0"/>
      </w:pPr>
      <w:r>
        <w:rPr>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Purpose</w:t>
      </w:r>
    </w:p>
    <w:p>
      <w:pPr>
        <w:spacing w:after="80" w:before="80"/>
      </w:pPr>
      <w:r>
        <w:rPr>
          <w:rFonts w:ascii="Arial" w:cs="Arial" w:eastAsia="Arial" w:hAnsi="Arial"/>
          <w:sz w:val="22"/>
          <w:szCs w:val="22"/>
        </w:rPr>
        <w:t xml:space="preserve">Document the architecture, trust model, service boundaries, cryptographic standards, and operational workflows for a backend-focused security platform. This platform provides machine identity, key management, secret management, cryptographic operations, and secure event-driven communication for internal services.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Platform Vision</w:t>
      </w:r>
    </w:p>
    <w:p>
      <w:pPr>
        <w:spacing w:after="80" w:before="80"/>
      </w:pPr>
      <w:r>
        <w:rPr>
          <w:rFonts w:ascii="Arial" w:cs="Arial" w:eastAsia="Arial" w:hAnsi="Arial"/>
          <w:sz w:val="22"/>
          <w:szCs w:val="22"/>
        </w:rPr>
        <w:t xml:space="preserve">Build a security-focused internal platform emphasizing ownership boundaries, blast-radius reduction, centralized key management, lifecycle consistency, recoverability, and auditability. Every service has explicit domain ownership. No service crosses into another service's ownership boundary. All cryptographic assets are owned and managed by KMS.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Control Plane vs. Data Plane</w:t>
      </w:r>
    </w:p>
    <w:p>
      <w:pPr>
        <w:spacing w:after="80" w:before="80"/>
      </w:pPr>
      <w:r>
        <w:rPr>
          <w:rFonts w:ascii="Arial" w:cs="Arial" w:eastAsia="Arial" w:hAnsi="Arial"/>
          <w:sz w:val="22"/>
          <w:szCs w:val="22"/>
        </w:rPr>
        <w:t xml:space="preserve">The platform is divided into a control plane responsible for authoritative decisions and a data plane responsible for execution.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Plane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Control 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SR, STS, KMS — own authoritative state, policies, and lifecycle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Data Plane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SV, CSP, Event Bus — execute operations, process data, distribute events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STS operates on the control/data plane boundary. It owns identity policy (control) but issues tokens at runtime per service-to-service request (data). This is an intentional design tradeoff favoring security over strict plane separation.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Core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Abbrev.</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Owns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 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Service metadata, namespaces, ownership, risk tiers, status, allowed dependencies, service communication policy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Security Token Service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Machine identity, certificate lifecycle, certificate metadata, revocation, token issuance, trust 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Secret Vault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Secret lifecycle, versioning, leasing, rotation, rollback, retrieval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Crypto Service Provider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CSP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Encrypt, decrypt, sign, verify, hash, secure random generation — execution only, no asset ownership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Management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key material, key lifecycle, key policies, key versions, key dependencies</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Trust Model</w:t>
      </w:r>
    </w:p>
    <w:p>
      <w:pPr>
        <w:spacing w:after="80" w:before="80"/>
      </w:pPr>
      <w:r>
        <w:rPr>
          <w:rFonts w:ascii="Arial" w:cs="Arial" w:eastAsia="Arial" w:hAnsi="Arial"/>
          <w:sz w:val="22"/>
          <w:szCs w:val="22"/>
        </w:rPr>
        <w:t xml:space="preserve">Root trust originates from an authorized platform administrator. Service creation is not self-service and requires explicit approval. Onboarding provisions service metadata, identities, secrets, and cryptographic assets as a coordinated workflow.</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Administrator Bootstrap</w:t>
      </w:r>
    </w:p>
    <w:p>
      <w:pPr>
        <w:spacing w:after="80" w:before="80"/>
      </w:pPr>
      <w:r>
        <w:rPr>
          <w:rFonts w:ascii="Arial" w:cs="Arial" w:eastAsia="Arial" w:hAnsi="Arial"/>
          <w:sz w:val="22"/>
          <w:szCs w:val="22"/>
        </w:rPr>
        <w:t xml:space="preserve">The first platform administrator is provisioned out-of-band through a secure bootstrap ceremony. This process is intentionally manual, multi-party, and auditable. The bootstrap ceremony establishes the root of trust from which all subsequent service identities and keys are derived. The specifics of the ceremony — hardware tokens, sealed credentials, quorum approval — are defined in the Operational Runbooks, deferred to a future design iteration.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Service Onboarding Flow</w:t>
      </w:r>
    </w:p>
    <w:p>
      <w:pPr>
        <w:pStyle w:val="ListParagraph"/>
        <w:numPr>
          <w:ilvl w:val="0"/>
          <w:numId w:val="2"/>
        </w:numPr>
        <w:spacing w:after="60" w:before="60"/>
      </w:pPr>
      <w:r>
        <w:rPr>
          <w:rFonts w:ascii="Arial" w:cs="Arial" w:eastAsia="Arial" w:hAnsi="Arial"/>
          <w:sz w:val="22"/>
          <w:szCs w:val="22"/>
        </w:rPr>
        <w:t xml:space="preserve">Administrator approves service creation request</w:t>
      </w:r>
    </w:p>
    <w:p>
      <w:pPr>
        <w:pStyle w:val="ListParagraph"/>
        <w:numPr>
          <w:ilvl w:val="0"/>
          <w:numId w:val="2"/>
        </w:numPr>
        <w:spacing w:after="60" w:before="60"/>
      </w:pPr>
      <w:r>
        <w:rPr>
          <w:rFonts w:ascii="Arial" w:cs="Arial" w:eastAsia="Arial" w:hAnsi="Arial"/>
          <w:sz w:val="22"/>
          <w:szCs w:val="22"/>
        </w:rPr>
        <w:t xml:space="preserve">SR creates authoritative service record with metadata, namespace, risk tier, and allowed dependencies</w:t>
      </w:r>
    </w:p>
    <w:p>
      <w:pPr>
        <w:pStyle w:val="ListParagraph"/>
        <w:numPr>
          <w:ilvl w:val="0"/>
          <w:numId w:val="2"/>
        </w:numPr>
        <w:spacing w:after="60" w:before="60"/>
      </w:pPr>
      <w:r>
        <w:rPr>
          <w:rFonts w:ascii="Arial" w:cs="Arial" w:eastAsia="Arial" w:hAnsi="Arial"/>
          <w:sz w:val="22"/>
          <w:szCs w:val="22"/>
        </w:rPr>
        <w:t xml:space="preserve">KMS generates a service identity keypair</w:t>
      </w:r>
    </w:p>
    <w:p>
      <w:pPr>
        <w:pStyle w:val="ListParagraph"/>
        <w:numPr>
          <w:ilvl w:val="0"/>
          <w:numId w:val="2"/>
        </w:numPr>
        <w:spacing w:after="60" w:before="60"/>
      </w:pPr>
      <w:r>
        <w:rPr>
          <w:rFonts w:ascii="Arial" w:cs="Arial" w:eastAsia="Arial" w:hAnsi="Arial"/>
          <w:sz w:val="22"/>
          <w:szCs w:val="22"/>
        </w:rPr>
        <w:t xml:space="preserve">STS issues a certificate binding the keypair to the registered service identity</w:t>
      </w:r>
    </w:p>
    <w:p>
      <w:pPr>
        <w:pStyle w:val="ListParagraph"/>
        <w:numPr>
          <w:ilvl w:val="0"/>
          <w:numId w:val="2"/>
        </w:numPr>
        <w:spacing w:after="60" w:before="60"/>
      </w:pPr>
      <w:r>
        <w:rPr>
          <w:rFonts w:ascii="Arial" w:cs="Arial" w:eastAsia="Arial" w:hAnsi="Arial"/>
          <w:sz w:val="22"/>
          <w:szCs w:val="22"/>
        </w:rPr>
        <w:t xml:space="preserve">Operational copy of credentials delivered to service</w:t>
      </w:r>
    </w:p>
    <w:p>
      <w:pPr>
        <w:pStyle w:val="ListParagraph"/>
        <w:numPr>
          <w:ilvl w:val="0"/>
          <w:numId w:val="2"/>
        </w:numPr>
        <w:spacing w:after="60" w:before="60"/>
      </w:pPr>
      <w:r>
        <w:rPr>
          <w:rFonts w:ascii="Arial" w:cs="Arial" w:eastAsia="Arial" w:hAnsi="Arial"/>
          <w:sz w:val="22"/>
          <w:szCs w:val="22"/>
        </w:rPr>
        <w:t xml:space="preserve">KMS retains authoritative copy for rotation, recovery, and auditing</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Service Authorization Model</w:t>
      </w:r>
    </w:p>
    <w:p>
      <w:pPr>
        <w:spacing w:after="80" w:before="80"/>
      </w:pPr>
      <w:r>
        <w:rPr>
          <w:rFonts w:ascii="Arial" w:cs="Arial" w:eastAsia="Arial" w:hAnsi="Arial"/>
          <w:sz w:val="22"/>
          <w:szCs w:val="22"/>
        </w:rPr>
        <w:t xml:space="preserve">SR is the policy authority for service-to-service communication. SR maintains the allowed dependency graph between services. STS is the enforcement point at runtime — it validates service identity and checks SR for authorized destinations before issuing a scoped token.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payments-service requests a token to call accounts-service. STS checks SR: does payments-service exist? Is payments-service authorized to call accounts-service? If both checks pass, STS issues a short-lived destination-scoped token.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STS Token Model</w:t>
      </w:r>
    </w:p>
    <w:p>
      <w:pPr>
        <w:spacing w:after="80" w:before="80"/>
      </w:pPr>
      <w:r>
        <w:rPr>
          <w:rFonts w:ascii="Arial" w:cs="Arial" w:eastAsia="Arial" w:hAnsi="Arial"/>
          <w:sz w:val="22"/>
          <w:szCs w:val="22"/>
        </w:rPr>
        <w:t xml:space="preserve">Tokens are short-lived and destination-scoped. A token issued for service A to call service B is not valid for any other destination. The following claims represent the intended token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Claim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Issuer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Identity of the STS instance that issued the token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sub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Identity of the requesting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Audience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Authorized destination 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scope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Permitted operation scope for the communication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Risk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risk_tier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Risk classification of the requesting service, sourced from SR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Issued 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Token issuance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Expiry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exp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Token expiration — tokens are short-lived by design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Key Ownership Model</w:t>
      </w:r>
    </w:p>
    <w:p>
      <w:pPr>
        <w:spacing w:after="80" w:before="80"/>
      </w:pPr>
      <w:r>
        <w:rPr>
          <w:rFonts w:ascii="Arial" w:cs="Arial" w:eastAsia="Arial" w:hAnsi="Arial"/>
          <w:sz w:val="22"/>
          <w:szCs w:val="22"/>
        </w:rPr>
        <w:t xml:space="preserve">KMS is the singular owner of all cryptographic key material in the platform. No other service generates, stores, or retains key material. This boundary is absolute.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Root Key Shares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Split shares used to reconstruct the platform root key — never persisted in full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KEKs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 Encryption Keys used to wrap DEKs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Encryption Keys used for secret and payload encryption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Service Identity Keys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Asymmetric keypairs representing service identities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Signing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Keys used for payload signing and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Transmission Keys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Keys scoped to secure transmission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Certificate Authority keys used by STS for certificate issuance</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KMS Internal Architecture</w:t>
      </w:r>
    </w:p>
    <w:p>
      <w:pPr>
        <w:spacing w:after="80" w:before="80"/>
      </w:pPr>
      <w:r>
        <w:rPr>
          <w:rFonts w:ascii="Arial" w:cs="Arial" w:eastAsia="Arial" w:hAnsi="Arial"/>
          <w:sz w:val="22"/>
          <w:szCs w:val="22"/>
        </w:rPr>
        <w:t xml:space="preserve">KMS is composed of four internal components. Each component has a distinct responsibility boundary.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Registry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Maintains key metadata, ownership records, versions, dependency mappings, and lifecycle state. Source of truth for all key relationships.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Policy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Evaluates authorization requests, enforces usage constraints, and applies access policies before any key operation is permitted.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Operations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Executes key generation, wrapping, unwrapping, rotation, retirement, export workflows, and root key reconstruction. Holds Root Key Share 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Vault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Stores encrypted key material at rest. Holds Root Key Share B. Neither share alone is sufficient to reconstruct the root key.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Root Key Protection Strategy</w:t>
      </w:r>
    </w:p>
    <w:p>
      <w:pPr>
        <w:spacing w:after="80" w:before="80"/>
      </w:pPr>
      <w:r>
        <w:rPr>
          <w:rFonts w:ascii="Arial" w:cs="Arial" w:eastAsia="Arial" w:hAnsi="Arial"/>
          <w:sz w:val="22"/>
          <w:szCs w:val="22"/>
        </w:rPr>
        <w:t xml:space="preserve">The platform root key is protected using a two-share split strategy. The shares are held in separate components within KMS to ensure that no single component can independently reconstruct the root key.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Share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Root Key Share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Operations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Root Key Share 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Vault</w:t>
            </w:r>
          </w:p>
        </w:tc>
      </w:tr>
    </w:tbl>
    <w:p>
      <w:pPr>
        <w:spacing w:after="0" w:before="120"/>
      </w:pPr>
      <w:r>
        <w:t xml:space="preserve"/>
      </w:r>
    </w:p>
    <w:p>
      <w:pPr>
        <w:spacing w:after="80" w:before="80"/>
      </w:pPr>
      <w:r>
        <w:rPr>
          <w:rFonts w:ascii="Arial" w:cs="Arial" w:eastAsia="Arial" w:hAnsi="Arial"/>
          <w:sz w:val="22"/>
          <w:szCs w:val="22"/>
        </w:rPr>
        <w:t xml:space="preserve">The root key is reconstructed only in memory during approved cryptographic operations. It is never persisted in reconstructed form. This limits the exposure window to the duration of the operation.</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KMS Key Lifecycle</w:t>
      </w:r>
    </w:p>
    <w:p>
      <w:pPr>
        <w:spacing w:after="80" w:before="80"/>
      </w:pPr>
      <w:r>
        <w:rPr>
          <w:rFonts w:ascii="Arial" w:cs="Arial" w:eastAsia="Arial" w:hAnsi="Arial"/>
          <w:sz w:val="22"/>
          <w:szCs w:val="22"/>
        </w:rPr>
        <w:t xml:space="preserve">Every key in the platform follows a defined lifecycle. State transitions are governed by explicit rules — not all transitions are permitted, and some require dependency resolution before they can proceed.</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Lifecycle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PendingApproval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 metadata exists. A platform administrator has been notified. No key material has been generated. This state supports SLA-based approval workflows where key creation requires human authorization.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Rejected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The key request was denied during the approval workflow. Terminal state. No key material was ever generated. The request record is retained for audit purposes.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 material has been generated and the key is in full operational use. The majority of a key's lifetime is spent in this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Rotating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 new key version is Active. The previous version remains in service while dependent assets drain and DEK rewrapping completes. This is a transitional state, not a stable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Compromised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key has been flagged as potentially or confirmed compromised. Immediate rotation is triggered. The key moves toward Inactive after dependent assets are migrated.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Inactive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All dependencies have been removed. The key is no longer in operational use. Key material is retained for audit and recovery purposes but is not available for new operations. Terminal operational state.</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Permitted State Transitions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Transition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PendingApproval → 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Administrator approves the key request. Key material is generated by the Operations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PendingApproval → Rejected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Administrator denies the key request. No material is 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Active → Rotating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Rotation is initiated. A new key version becomes Active. The previous version enters Rotating.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Active → Compromised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 is flagged as compromised. Immediate 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Rotating → Inactive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dependents have migrated to the new key version. DEK rewrapping is complete.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Compromised → Inactive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Dependent assets have been migrated away from the compromised key. Material is retained for audit.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No direct Active → Inactive transition is permitted. A key must pass through Rotating to ensure all dependencies are cleanly resolved before it leaves service. This constraint is enforced at the type level in the implementation.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Secret Lifecycle and Trust Boundaries</w:t>
      </w:r>
    </w:p>
    <w:p>
      <w:pPr>
        <w:pStyle w:val="Heading2"/>
        <w:spacing w:after="120" w:before="240"/>
      </w:pPr>
      <w:r>
        <w:rPr>
          <w:rFonts w:ascii="Arial" w:cs="Arial" w:eastAsia="Arial" w:hAnsi="Arial"/>
          <w:b/>
          <w:bCs/>
          <w:color w:val="2E75B6"/>
          <w:sz w:val="26"/>
          <w:szCs w:val="26"/>
        </w:rPr>
        <w:t xml:space="preserve">Call Chain</w:t>
      </w:r>
    </w:p>
    <w:p>
      <w:pPr>
        <w:spacing w:after="80" w:before="80"/>
      </w:pPr>
      <w:r>
        <w:rPr>
          <w:rFonts w:ascii="Arial" w:cs="Arial" w:eastAsia="Arial" w:hAnsi="Arial"/>
          <w:sz w:val="22"/>
          <w:szCs w:val="22"/>
        </w:rPr>
        <w:t xml:space="preserve">Secrets use envelope encryption. The call chain for secret operations is:</w:t>
      </w:r>
    </w:p>
    <w:p>
      <w:pPr>
        <w:spacing w:after="0" w:before="80"/>
      </w:pPr>
      <w:r>
        <w:t xml:space="preserve"/>
      </w:r>
    </w:p>
    <w:p>
      <w:pPr>
        <w:spacing w:after="100" w:before="100"/>
      </w:pPr>
      <w:r>
        <w:rPr>
          <w:rFonts w:ascii="Courier New" w:cs="Courier New" w:eastAsia="Courier New" w:hAnsi="Courier New"/>
          <w:b/>
          <w:bCs/>
          <w:color w:val="1F4E79"/>
          <w:sz w:val="22"/>
          <w:szCs w:val="22"/>
        </w:rPr>
        <w:t xml:space="preserve">SV  →  CSP  →  KMS</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SV owns the secret lifecycle — create, version, rotate, rollback, retire</w:t>
      </w:r>
    </w:p>
    <w:p>
      <w:pPr>
        <w:pStyle w:val="ListParagraph"/>
        <w:numPr>
          <w:ilvl w:val="0"/>
          <w:numId w:val="3"/>
        </w:numPr>
        <w:spacing w:after="60" w:before="60"/>
      </w:pPr>
      <w:r>
        <w:rPr>
          <w:rFonts w:ascii="Arial" w:cs="Arial" w:eastAsia="Arial" w:hAnsi="Arial"/>
          <w:sz w:val="22"/>
          <w:szCs w:val="22"/>
        </w:rPr>
        <w:t xml:space="preserve">CSP performs the cryptographic operations — encryption and decryption of secret values</w:t>
      </w:r>
    </w:p>
    <w:p>
      <w:pPr>
        <w:pStyle w:val="ListParagraph"/>
        <w:numPr>
          <w:ilvl w:val="0"/>
          <w:numId w:val="3"/>
        </w:numPr>
        <w:spacing w:after="60" w:before="60"/>
      </w:pPr>
      <w:r>
        <w:rPr>
          <w:rFonts w:ascii="Arial" w:cs="Arial" w:eastAsia="Arial" w:hAnsi="Arial"/>
          <w:sz w:val="22"/>
          <w:szCs w:val="22"/>
        </w:rPr>
        <w:t xml:space="preserve">KMS owns the DEKs and KEKs — CSP requests key material from KMS per operation</w:t>
      </w:r>
    </w:p>
    <w:p>
      <w:pPr>
        <w:pStyle w:val="ListParagraph"/>
        <w:numPr>
          <w:ilvl w:val="0"/>
          <w:numId w:val="3"/>
        </w:numPr>
        <w:spacing w:after="60" w:before="60"/>
      </w:pPr>
      <w:r>
        <w:rPr>
          <w:rFonts w:ascii="Arial" w:cs="Arial" w:eastAsia="Arial" w:hAnsi="Arial"/>
          <w:sz w:val="22"/>
          <w:szCs w:val="22"/>
        </w:rPr>
        <w:t xml:space="preserve">SV never holds plaintext key material — keys are retrieved by CSP for the duration of the operation only</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Secret Lifecycle States</w:t>
      </w:r>
    </w:p>
    <w:p>
      <w:pPr>
        <w:spacing w:after="100" w:before="100"/>
      </w:pPr>
      <w:r>
        <w:rPr>
          <w:rFonts w:ascii="Courier New" w:cs="Courier New" w:eastAsia="Courier New" w:hAnsi="Courier New"/>
          <w:b/>
          <w:bCs/>
          <w:color w:val="1F4E79"/>
          <w:sz w:val="22"/>
          <w:szCs w:val="22"/>
        </w:rPr>
        <w:t xml:space="preserve">Create  →  Version  →  Rotate  →  Rollback  →  Retire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Version history is maintained for rollback capability</w:t>
      </w:r>
    </w:p>
    <w:p>
      <w:pPr>
        <w:pStyle w:val="ListParagraph"/>
        <w:numPr>
          <w:ilvl w:val="0"/>
          <w:numId w:val="3"/>
        </w:numPr>
        <w:spacing w:after="60" w:before="60"/>
      </w:pPr>
      <w:r>
        <w:rPr>
          <w:rFonts w:ascii="Arial" w:cs="Arial" w:eastAsia="Arial" w:hAnsi="Arial"/>
          <w:sz w:val="22"/>
          <w:szCs w:val="22"/>
        </w:rPr>
        <w:t xml:space="preserve">Leasing controls retrieval access with TTL-based expiry</w:t>
      </w:r>
    </w:p>
    <w:p>
      <w:pPr>
        <w:pStyle w:val="ListParagraph"/>
        <w:numPr>
          <w:ilvl w:val="0"/>
          <w:numId w:val="3"/>
        </w:numPr>
        <w:spacing w:after="60" w:before="60"/>
      </w:pPr>
      <w:r>
        <w:rPr>
          <w:rFonts w:ascii="Arial" w:cs="Arial" w:eastAsia="Arial" w:hAnsi="Arial"/>
          <w:sz w:val="22"/>
          <w:szCs w:val="22"/>
        </w:rPr>
        <w:t xml:space="preserve">Rotation notifications are emitted via the Event Bus</w:t>
      </w:r>
    </w:p>
    <w:p>
      <w:pPr>
        <w:pStyle w:val="ListParagraph"/>
        <w:numPr>
          <w:ilvl w:val="0"/>
          <w:numId w:val="3"/>
        </w:numPr>
        <w:spacing w:after="60" w:before="60"/>
      </w:pPr>
      <w:r>
        <w:rPr>
          <w:rFonts w:ascii="Arial" w:cs="Arial" w:eastAsia="Arial" w:hAnsi="Arial"/>
          <w:sz w:val="22"/>
          <w:szCs w:val="22"/>
        </w:rPr>
        <w:t xml:space="preserve">Secret values are never logged under any circumstances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Crypto Service Provider (CSP)</w:t>
      </w:r>
    </w:p>
    <w:p>
      <w:pPr>
        <w:spacing w:after="80" w:before="80"/>
      </w:pPr>
      <w:r>
        <w:rPr>
          <w:rFonts w:ascii="Arial" w:cs="Arial" w:eastAsia="Arial" w:hAnsi="Arial"/>
          <w:sz w:val="22"/>
          <w:szCs w:val="22"/>
        </w:rPr>
        <w:t xml:space="preserve">CSP is the platform-wide cryptographic execution layer. CSP performs operations but does not own cryptographic assets. It is stateless and horizontally scalable.</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Supported Operations</w:t>
      </w:r>
    </w:p>
    <w:p>
      <w:pPr>
        <w:pStyle w:val="ListParagraph"/>
        <w:numPr>
          <w:ilvl w:val="0"/>
          <w:numId w:val="3"/>
        </w:numPr>
        <w:spacing w:after="60" w:before="60"/>
      </w:pPr>
      <w:r>
        <w:rPr>
          <w:rFonts w:ascii="Arial" w:cs="Arial" w:eastAsia="Arial" w:hAnsi="Arial"/>
          <w:sz w:val="22"/>
          <w:szCs w:val="22"/>
        </w:rPr>
        <w:t xml:space="preserve">Encrypt</w:t>
      </w:r>
    </w:p>
    <w:p>
      <w:pPr>
        <w:pStyle w:val="ListParagraph"/>
        <w:numPr>
          <w:ilvl w:val="0"/>
          <w:numId w:val="3"/>
        </w:numPr>
        <w:spacing w:after="60" w:before="60"/>
      </w:pPr>
      <w:r>
        <w:rPr>
          <w:rFonts w:ascii="Arial" w:cs="Arial" w:eastAsia="Arial" w:hAnsi="Arial"/>
          <w:sz w:val="22"/>
          <w:szCs w:val="22"/>
        </w:rPr>
        <w:t xml:space="preserve">Decrypt</w:t>
      </w:r>
    </w:p>
    <w:p>
      <w:pPr>
        <w:pStyle w:val="ListParagraph"/>
        <w:numPr>
          <w:ilvl w:val="0"/>
          <w:numId w:val="3"/>
        </w:numPr>
        <w:spacing w:after="60" w:before="60"/>
      </w:pPr>
      <w:r>
        <w:rPr>
          <w:rFonts w:ascii="Arial" w:cs="Arial" w:eastAsia="Arial" w:hAnsi="Arial"/>
          <w:sz w:val="22"/>
          <w:szCs w:val="22"/>
        </w:rPr>
        <w:t xml:space="preserve">Sign</w:t>
      </w:r>
    </w:p>
    <w:p>
      <w:pPr>
        <w:pStyle w:val="ListParagraph"/>
        <w:numPr>
          <w:ilvl w:val="0"/>
          <w:numId w:val="3"/>
        </w:numPr>
        <w:spacing w:after="60" w:before="60"/>
      </w:pPr>
      <w:r>
        <w:rPr>
          <w:rFonts w:ascii="Arial" w:cs="Arial" w:eastAsia="Arial" w:hAnsi="Arial"/>
          <w:sz w:val="22"/>
          <w:szCs w:val="22"/>
        </w:rPr>
        <w:t xml:space="preserve">Verify</w:t>
      </w:r>
    </w:p>
    <w:p>
      <w:pPr>
        <w:pStyle w:val="ListParagraph"/>
        <w:numPr>
          <w:ilvl w:val="0"/>
          <w:numId w:val="3"/>
        </w:numPr>
        <w:spacing w:after="60" w:before="60"/>
      </w:pPr>
      <w:r>
        <w:rPr>
          <w:rFonts w:ascii="Arial" w:cs="Arial" w:eastAsia="Arial" w:hAnsi="Arial"/>
          <w:sz w:val="22"/>
          <w:szCs w:val="22"/>
        </w:rPr>
        <w:t xml:space="preserve">Hash</w:t>
      </w:r>
    </w:p>
    <w:p>
      <w:pPr>
        <w:pStyle w:val="ListParagraph"/>
        <w:numPr>
          <w:ilvl w:val="0"/>
          <w:numId w:val="3"/>
        </w:numPr>
        <w:spacing w:after="60" w:before="60"/>
      </w:pPr>
      <w:r>
        <w:rPr>
          <w:rFonts w:ascii="Arial" w:cs="Arial" w:eastAsia="Arial" w:hAnsi="Arial"/>
          <w:sz w:val="22"/>
          <w:szCs w:val="22"/>
        </w:rPr>
        <w:t xml:space="preserve">Secure Random Generation</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Persistence Contract</w:t>
      </w:r>
    </w:p>
    <w:p>
      <w:pPr>
        <w:spacing w:after="80" w:before="80"/>
      </w:pPr>
      <w:r>
        <w:rPr>
          <w:rFonts w:ascii="Arial" w:cs="Arial" w:eastAsia="Arial" w:hAnsi="Arial"/>
          <w:sz w:val="22"/>
          <w:szCs w:val="22"/>
        </w:rPr>
        <w:t xml:space="preserve">CSP never persists key material, plaintext, ciphertext, secrets, or tokens beyond the scope of an individual operation. Nothing survives the operation lifecycle. No plaintext, ciphertext, secrets, tokens, or key material is written to logs.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Data Transmission Model</w:t>
      </w:r>
    </w:p>
    <w:p>
      <w:pPr>
        <w:pStyle w:val="Heading2"/>
        <w:spacing w:after="120" w:before="240"/>
      </w:pPr>
      <w:r>
        <w:rPr>
          <w:rFonts w:ascii="Arial" w:cs="Arial" w:eastAsia="Arial" w:hAnsi="Arial"/>
          <w:b/>
          <w:bCs/>
          <w:color w:val="2E75B6"/>
          <w:sz w:val="26"/>
          <w:szCs w:val="26"/>
        </w:rPr>
        <w:t xml:space="preserve">Baseline Transport</w:t>
      </w:r>
    </w:p>
    <w:p>
      <w:pPr>
        <w:spacing w:after="80" w:before="80"/>
      </w:pPr>
      <w:r>
        <w:rPr>
          <w:rFonts w:ascii="Arial" w:cs="Arial" w:eastAsia="Arial" w:hAnsi="Arial"/>
          <w:sz w:val="22"/>
          <w:szCs w:val="22"/>
        </w:rPr>
        <w:t xml:space="preserve">All service-to-service communication uses TLS 1.3 with STS-issued destination-scoped tokens.</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Sensitive Event Flow</w:t>
      </w:r>
    </w:p>
    <w:p>
      <w:pPr>
        <w:spacing w:after="80" w:before="80"/>
      </w:pPr>
      <w:r>
        <w:rPr>
          <w:rFonts w:ascii="Arial" w:cs="Arial" w:eastAsia="Arial" w:hAnsi="Arial"/>
          <w:sz w:val="22"/>
          <w:szCs w:val="22"/>
        </w:rPr>
        <w:t xml:space="preserve">For sensitive payloads transmitted via the Event Bus, an additional application-layer security envelope is applied:</w:t>
      </w:r>
    </w:p>
    <w:p>
      <w:pPr>
        <w:spacing w:after="0" w:before="80"/>
      </w:pPr>
      <w:r>
        <w:t xml:space="preserve"/>
      </w:r>
    </w:p>
    <w:p>
      <w:pPr>
        <w:spacing w:after="100" w:before="100"/>
      </w:pPr>
      <w:r>
        <w:rPr>
          <w:rFonts w:ascii="Courier New" w:cs="Courier New" w:eastAsia="Courier New" w:hAnsi="Courier New"/>
          <w:b/>
          <w:bCs/>
          <w:color w:val="1F4E79"/>
          <w:sz w:val="22"/>
          <w:szCs w:val="22"/>
        </w:rPr>
        <w:t xml:space="preserve">Producer  →  CSP.sign()  →  CSP.encrypt()  →  Event Bus  →  CSP.decrypt()  →  CSP.verify()  →  Consumer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it is achieved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CSP.encrypt() before publishing; CSP.decrypt() after consuming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Integrity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CSP.sign() before publishing; CSP.verify() after consuming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Authenticity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STS-issued token scoped to the producer service identity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Cryptographic Standards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Symmetric Encryption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AES-256-GCM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Preferred for all symmetric encryption including secrets and payloads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Asymmetric Signing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Ed25519</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Preferred signing algorithm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Asymmetric Signing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ECDSA P-256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Supported alternative where Ed25519 is not 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Hashing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SHA-256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Standard hash function for integrity and 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Derivation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HKDF-SHA256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Used for deriving keys from shared secrets or root material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Transport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TLS 1.3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Required for all service-to-service communication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Technology Stack</w:t>
      </w:r>
    </w:p>
    <w:p>
      <w:pPr>
        <w:spacing w:after="80" w:before="80"/>
      </w:pPr>
      <w:r>
        <w:rPr>
          <w:rFonts w:ascii="Arial" w:cs="Arial" w:eastAsia="Arial" w:hAnsi="Arial"/>
          <w:sz w:val="22"/>
          <w:szCs w:val="22"/>
        </w:rPr>
        <w:t xml:space="preserve">Technology selections are documented in the Architecture Decision Records. The following table summarises the outcomes for 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Concern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Selection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KMS implementation language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Scala (MVP) → Go (post-MVP)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CSP implementation language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SR implementation language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Storage engine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PostgreSQL — one instance per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CI/CD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ADR-011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General code review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CodeRabbit (free tier)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Security-domain code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Custom Claude GitHub 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Repository structure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Monorepo — keystone-platform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Containerisation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Docker (Kubernetes deferred)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Future</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Repository Structure</w:t>
      </w:r>
    </w:p>
    <w:p>
      <w:pPr>
        <w:spacing w:after="80" w:before="80"/>
      </w:pPr>
      <w:r>
        <w:rPr>
          <w:rFonts w:ascii="Arial" w:cs="Arial" w:eastAsia="Arial" w:hAnsi="Arial"/>
          <w:sz w:val="22"/>
          <w:szCs w:val="22"/>
        </w:rPr>
        <w:t xml:space="preserve">The platform lives in a single monorepo named keystone-platform. The structure below represents the scaffold from which all implementation begins. Each service owns its source, tests, documentation, and Dockerfile independently.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docs/design/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Platform-level design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docs/adr/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Architecture Decision Records in markdown — source of truth for all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services/kms/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 Management Service — Scala, build.sbt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services/kms/src/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KMS source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services/kms/tests/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KMS test suite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services/kms/docs/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service.md and runbook.md for KMS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services/csp/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Crypto Service Provider — Scala, build.sbt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services/sr/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Service Registry — Python, pyproject.toml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docker-compose.yml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Local development orchestration — wires all services and databases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.github/workflows/ci.yml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CI pipeline — tests, secret scanning, Docker builds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.github/workflows/security-review.yml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AI-assisted security review pipeline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README.md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Project overview, architecture summary, local setup instructions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A lib/ directory is reserved for future cross-cutting operational concerns such as logging schemas, audit event schemas, and error structures. It will be introduced when polyglot drift across services creates a real need. Domain logic, cryptographic utilities, and service-owned concerns are explicitly excluded from lib/.</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Audit Logging Principles</w:t>
      </w:r>
    </w:p>
    <w:p>
      <w:pPr>
        <w:spacing w:after="80" w:before="80"/>
      </w:pPr>
      <w:r>
        <w:rPr>
          <w:rFonts w:ascii="Arial" w:cs="Arial" w:eastAsia="Arial" w:hAnsi="Arial"/>
          <w:sz w:val="22"/>
          <w:szCs w:val="22"/>
        </w:rPr>
        <w:t xml:space="preserve">Audit logging captures metadata about operations, not operational data. The following rules are platform-wide and non-negotiable.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Never log plaintext values</w:t>
      </w:r>
    </w:p>
    <w:p>
      <w:pPr>
        <w:pStyle w:val="ListParagraph"/>
        <w:numPr>
          <w:ilvl w:val="0"/>
          <w:numId w:val="3"/>
        </w:numPr>
        <w:spacing w:after="60" w:before="60"/>
      </w:pPr>
      <w:r>
        <w:rPr>
          <w:rFonts w:ascii="Arial" w:cs="Arial" w:eastAsia="Arial" w:hAnsi="Arial"/>
          <w:sz w:val="22"/>
          <w:szCs w:val="22"/>
        </w:rPr>
        <w:t xml:space="preserve">Never log ciphertext</w:t>
      </w:r>
    </w:p>
    <w:p>
      <w:pPr>
        <w:pStyle w:val="ListParagraph"/>
        <w:numPr>
          <w:ilvl w:val="0"/>
          <w:numId w:val="3"/>
        </w:numPr>
        <w:spacing w:after="60" w:before="60"/>
      </w:pPr>
      <w:r>
        <w:rPr>
          <w:rFonts w:ascii="Arial" w:cs="Arial" w:eastAsia="Arial" w:hAnsi="Arial"/>
          <w:sz w:val="22"/>
          <w:szCs w:val="22"/>
        </w:rPr>
        <w:t xml:space="preserve">Never log secrets or secret values</w:t>
      </w:r>
    </w:p>
    <w:p>
      <w:pPr>
        <w:pStyle w:val="ListParagraph"/>
        <w:numPr>
          <w:ilvl w:val="0"/>
          <w:numId w:val="3"/>
        </w:numPr>
        <w:spacing w:after="60" w:before="60"/>
      </w:pPr>
      <w:r>
        <w:rPr>
          <w:rFonts w:ascii="Arial" w:cs="Arial" w:eastAsia="Arial" w:hAnsi="Arial"/>
          <w:sz w:val="22"/>
          <w:szCs w:val="22"/>
        </w:rPr>
        <w:t xml:space="preserve">Never log tokens</w:t>
      </w:r>
    </w:p>
    <w:p>
      <w:pPr>
        <w:pStyle w:val="ListParagraph"/>
        <w:numPr>
          <w:ilvl w:val="0"/>
          <w:numId w:val="3"/>
        </w:numPr>
        <w:spacing w:after="60" w:before="60"/>
      </w:pPr>
      <w:r>
        <w:rPr>
          <w:rFonts w:ascii="Arial" w:cs="Arial" w:eastAsia="Arial" w:hAnsi="Arial"/>
          <w:sz w:val="22"/>
          <w:szCs w:val="22"/>
        </w:rPr>
        <w:t xml:space="preserve">Never log key material of any kind</w:t>
      </w:r>
    </w:p>
    <w:p>
      <w:pPr>
        <w:pStyle w:val="ListParagraph"/>
        <w:numPr>
          <w:ilvl w:val="0"/>
          <w:numId w:val="3"/>
        </w:numPr>
        <w:spacing w:after="60" w:before="60"/>
      </w:pPr>
      <w:r>
        <w:rPr>
          <w:rFonts w:ascii="Arial" w:cs="Arial" w:eastAsia="Arial" w:hAnsi="Arial"/>
          <w:sz w:val="22"/>
          <w:szCs w:val="22"/>
        </w:rPr>
        <w:t xml:space="preserve">Log operation metadata only — service identity, timestamp, operation type, outcome, correlation ID</w:t>
      </w:r>
    </w:p>
    <w:p>
      <w:pPr>
        <w:spacing w:after="0" w:before="100"/>
      </w:pPr>
      <w:r>
        <w:t xml:space="preserve"/>
      </w:r>
    </w:p>
    <w:p>
      <w:pPr>
        <w:spacing w:after="80" w:before="80"/>
      </w:pPr>
      <w:r>
        <w:rPr>
          <w:rFonts w:ascii="Arial" w:cs="Arial" w:eastAsia="Arial" w:hAnsi="Arial"/>
          <w:sz w:val="22"/>
          <w:szCs w:val="22"/>
        </w:rPr>
        <w:t xml:space="preserve">Full audit architecture including storage, retention, tamper-evidence, and access controls is deferred to a future design iteration.</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Scaling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Scaling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Stateless — horizontally scalable without constraint. No key material is cached between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Horizontally scalable but treated as a Tier-0 platform dependency. Degradation affects the entire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Scales independently. Secret retrieval supports cached responses with controlled TTLs for metadata.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SR / 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Scale independently. STS token issuance is a high-frequency runtime operation.</w:t>
            </w:r>
          </w:p>
        </w:tc>
      </w:tr>
    </w:tbl>
    <w:p>
      <w:pPr>
        <w:spacing w:after="0" w:before="120"/>
      </w:pPr>
      <w:r>
        <w:t xml:space="preserve"/>
      </w:r>
    </w:p>
    <w:p>
      <w:pPr>
        <w:spacing w:after="80" w:before="80"/>
      </w:pPr>
      <w:r>
        <w:rPr>
          <w:rFonts w:ascii="Arial" w:cs="Arial" w:eastAsia="Arial" w:hAnsi="Arial"/>
          <w:sz w:val="22"/>
          <w:szCs w:val="22"/>
        </w:rPr>
        <w:t xml:space="preserve">Plaintext key material is never cached outside KMS. Metadata and policy information may be cached where appropriate with defined TTLs.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Architecture Decision Records</w:t>
      </w:r>
    </w:p>
    <w:p>
      <w:pPr>
        <w:spacing w:after="80" w:before="80"/>
      </w:pPr>
      <w:r>
        <w:rPr>
          <w:rFonts w:ascii="Arial" w:cs="Arial" w:eastAsia="Arial" w:hAnsi="Arial"/>
          <w:sz w:val="22"/>
          <w:szCs w:val="22"/>
        </w:rPr>
        <w:t xml:space="preserve">The following decisions were made during the design of this platform. Full ADR text lives in docs/adr/ in the repository and in the Appendix of this document.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KMS Owns All 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Split Root Key Trust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Platform-Managed Service Identity 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Separate KMS and CSP Responsibilities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Envelope Encryption for Secrets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SR as Policy Authority, STS as Enforcement Point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Token-Based Runtime Authorization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Event Payload Encryption Beyond TLS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Language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Storage Engine Selection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CI/CD Pipeline and Review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AI-Assisted Code Review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Monorepo Repository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Future Design Areas</w:t>
      </w:r>
    </w:p>
    <w:p>
      <w:pPr>
        <w:spacing w:after="80" w:before="80"/>
      </w:pPr>
      <w:r>
        <w:rPr>
          <w:rFonts w:ascii="Arial" w:cs="Arial" w:eastAsia="Arial" w:hAnsi="Arial"/>
          <w:sz w:val="22"/>
          <w:szCs w:val="22"/>
        </w:rPr>
        <w:t xml:space="preserve">The following topics are intentionally deferred for subsequent design iterations. Each represents a known gap acknowledged at this stage.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Audit Architecture — storage, retention policy, tamper-evidence, access control</w:t>
      </w:r>
    </w:p>
    <w:p>
      <w:pPr>
        <w:pStyle w:val="ListParagraph"/>
        <w:numPr>
          <w:ilvl w:val="0"/>
          <w:numId w:val="3"/>
        </w:numPr>
        <w:spacing w:after="60" w:before="60"/>
      </w:pPr>
      <w:r>
        <w:rPr>
          <w:rFonts w:ascii="Arial" w:cs="Arial" w:eastAsia="Arial" w:hAnsi="Arial"/>
          <w:sz w:val="22"/>
          <w:szCs w:val="22"/>
        </w:rPr>
        <w:t xml:space="preserve">Failure Modeling — per-service failure modes, degradation behavior, circuit breaking</w:t>
      </w:r>
    </w:p>
    <w:p>
      <w:pPr>
        <w:pStyle w:val="ListParagraph"/>
        <w:numPr>
          <w:ilvl w:val="0"/>
          <w:numId w:val="3"/>
        </w:numPr>
        <w:spacing w:after="60" w:before="60"/>
      </w:pPr>
      <w:r>
        <w:rPr>
          <w:rFonts w:ascii="Arial" w:cs="Arial" w:eastAsia="Arial" w:hAnsi="Arial"/>
          <w:sz w:val="22"/>
          <w:szCs w:val="22"/>
        </w:rPr>
        <w:t xml:space="preserve">Threat Modeling — STRIDE analysis per service, attack surface mapping</w:t>
      </w:r>
    </w:p>
    <w:p>
      <w:pPr>
        <w:pStyle w:val="ListParagraph"/>
        <w:numPr>
          <w:ilvl w:val="0"/>
          <w:numId w:val="3"/>
        </w:numPr>
        <w:spacing w:after="60" w:before="60"/>
      </w:pPr>
      <w:r>
        <w:rPr>
          <w:rFonts w:ascii="Arial" w:cs="Arial" w:eastAsia="Arial" w:hAnsi="Arial"/>
          <w:sz w:val="22"/>
          <w:szCs w:val="22"/>
        </w:rPr>
        <w:t xml:space="preserve">KMS High Availability — quorum design, leader election, cross-zone replication</w:t>
      </w:r>
    </w:p>
    <w:p>
      <w:pPr>
        <w:pStyle w:val="ListParagraph"/>
        <w:numPr>
          <w:ilvl w:val="0"/>
          <w:numId w:val="3"/>
        </w:numPr>
        <w:spacing w:after="60" w:before="60"/>
      </w:pPr>
      <w:r>
        <w:rPr>
          <w:rFonts w:ascii="Arial" w:cs="Arial" w:eastAsia="Arial" w:hAnsi="Arial"/>
          <w:sz w:val="22"/>
          <w:szCs w:val="22"/>
        </w:rPr>
        <w:t xml:space="preserve">Administrator Bootstrap Ceremony — multi-party approval, hardware token requirements, ceremony runbook</w:t>
      </w:r>
    </w:p>
    <w:p>
      <w:pPr>
        <w:pStyle w:val="ListParagraph"/>
        <w:numPr>
          <w:ilvl w:val="0"/>
          <w:numId w:val="3"/>
        </w:numPr>
        <w:spacing w:after="60" w:before="60"/>
      </w:pPr>
      <w:r>
        <w:rPr>
          <w:rFonts w:ascii="Arial" w:cs="Arial" w:eastAsia="Arial" w:hAnsi="Arial"/>
          <w:sz w:val="22"/>
          <w:szCs w:val="22"/>
        </w:rPr>
        <w:t xml:space="preserve">Deployment Architecture — containerization, orchestration, network topology</w:t>
      </w:r>
    </w:p>
    <w:p>
      <w:pPr>
        <w:pStyle w:val="ListParagraph"/>
        <w:numPr>
          <w:ilvl w:val="0"/>
          <w:numId w:val="3"/>
        </w:numPr>
        <w:spacing w:after="60" w:before="60"/>
      </w:pPr>
      <w:r>
        <w:rPr>
          <w:rFonts w:ascii="Arial" w:cs="Arial" w:eastAsia="Arial" w:hAnsi="Arial"/>
          <w:sz w:val="22"/>
          <w:szCs w:val="22"/>
        </w:rPr>
        <w:t xml:space="preserve">Kubernetes Topology — namespace isolation, pod security, service mesh integration</w:t>
      </w:r>
    </w:p>
    <w:p>
      <w:pPr>
        <w:pStyle w:val="ListParagraph"/>
        <w:numPr>
          <w:ilvl w:val="0"/>
          <w:numId w:val="3"/>
        </w:numPr>
        <w:spacing w:after="60" w:before="60"/>
      </w:pPr>
      <w:r>
        <w:rPr>
          <w:rFonts w:ascii="Arial" w:cs="Arial" w:eastAsia="Arial" w:hAnsi="Arial"/>
          <w:sz w:val="22"/>
          <w:szCs w:val="22"/>
        </w:rPr>
        <w:t xml:space="preserve">Operational Runbooks — on-call procedures, rotation playbooks, incident response</w:t>
      </w:r>
    </w:p>
    <w:p>
      <w:pPr>
        <w:pStyle w:val="ListParagraph"/>
        <w:numPr>
          <w:ilvl w:val="0"/>
          <w:numId w:val="3"/>
        </w:numPr>
        <w:spacing w:after="60" w:before="60"/>
      </w:pPr>
      <w:r>
        <w:rPr>
          <w:rFonts w:ascii="Arial" w:cs="Arial" w:eastAsia="Arial" w:hAnsi="Arial"/>
          <w:sz w:val="22"/>
          <w:szCs w:val="22"/>
        </w:rPr>
        <w:t xml:space="preserve">Event Bus Decision — technology selection and topic ownership model</w:t>
      </w:r>
    </w:p>
    <w:p>
      <w:pPr>
        <w:pStyle w:val="ListParagraph"/>
        <w:numPr>
          <w:ilvl w:val="0"/>
          <w:numId w:val="3"/>
        </w:numPr>
        <w:spacing w:after="60" w:before="60"/>
      </w:pPr>
      <w:r>
        <w:rPr>
          <w:rFonts w:ascii="Arial" w:cs="Arial" w:eastAsia="Arial" w:hAnsi="Arial"/>
          <w:sz w:val="22"/>
          <w:szCs w:val="22"/>
        </w:rPr>
        <w:t xml:space="preserve">lib/ IDL Contracts — YAML-based cross-cutting schema definitions, introduced when polyglot drift requires it</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80" w:before="240"/>
      </w:pPr>
      <w:r>
        <w:rPr>
          <w:rFonts w:ascii="Arial" w:cs="Arial" w:eastAsia="Arial" w:hAnsi="Arial"/>
          <w:b/>
          <w:bCs/>
          <w:color w:val="1F4E79"/>
          <w:sz w:val="40"/>
          <w:szCs w:val="40"/>
        </w:rPr>
        <w:t xml:space="preserve">Appendix — Architecture Decision Records</w:t>
      </w:r>
    </w:p>
    <w:p>
      <w:pPr>
        <w:pBdr>
          <w:bottom w:val="single" w:color="2E75B6" w:sz="12" w:space="6"/>
        </w:pBdr>
        <w:spacing w:after="240" w:before="0"/>
      </w:pPr>
      <w:r>
        <w:rPr>
          <w:sz w:val="22"/>
          <w:szCs w:val="22"/>
        </w:rPr>
        <w:t xml:space="preserve"/>
      </w:r>
    </w:p>
    <w:p>
      <w:pPr>
        <w:spacing w:after="80" w:before="80"/>
      </w:pPr>
      <w:r>
        <w:rPr>
          <w:rFonts w:ascii="Arial" w:cs="Arial" w:eastAsia="Arial" w:hAnsi="Arial"/>
          <w:sz w:val="22"/>
          <w:szCs w:val="22"/>
        </w:rPr>
        <w:t xml:space="preserve">This appendix contains the full text of all Architecture Decision Records referenced in the main document. The authoritative versions live in docs/adr/ in the keystone-platform repository. Each ADR captures the problem context, the decision made, the rationale behind it, and the known tradeoffs accepted.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ADR-001  </w:t>
            </w:r>
            <w:r>
              <w:rPr>
                <w:rFonts w:ascii="Arial" w:cs="Arial" w:eastAsia="Arial" w:hAnsi="Arial"/>
                <w:b/>
                <w:bCs/>
                <w:color w:val="D6E4F0"/>
                <w:sz w:val="24"/>
                <w:szCs w:val="24"/>
              </w:rPr>
              <w:t xml:space="preserve">KMS Owns All Keys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platform requires multiple categories of cryptographic keys including Service Identity Keys, KEKs, DEKs, Signing Keys, Transmission Keys, and Certificate Authority Keys. Allowing each service to manage its own keys introduces inconsistent lifecycle management, fragmented auditing, and complicated recovery workflows.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is the sole owner of all cryptographic key material within the platform. No other service generates, stores, or manages keys independently.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Centralizing key ownership allows the platform to apply consistent lifecycle management, policy enforcement, auditing, recovery, and rotation workflows across all cryptographic assets. This creates a single authoritative source of truth for cryptographic governance.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becomes a Tier-0 dependency and a high-value target. Additional effort must be invested in KMS security, availability, and operational resilience.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ADR-002  </w:t>
            </w:r>
            <w:r>
              <w:rPr>
                <w:rFonts w:ascii="Arial" w:cs="Arial" w:eastAsia="Arial" w:hAnsi="Arial"/>
                <w:b/>
                <w:bCs/>
                <w:color w:val="D6E4F0"/>
                <w:sz w:val="24"/>
                <w:szCs w:val="24"/>
              </w:rPr>
              <w:t xml:space="preserve">Split Root Key Trust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single platform root key represents a single point of compromise. If an attacker obtains the root key, all cryptographic assets protected by that key become vulnerable.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platform root key is split into two independent shares. Root Key Share A resides within the Operations Engine trust boundary while Root Key Share B resides within Vault. Neither share alone is sufficient to reconstruct the root key.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trust across multiple components reduces blast radius and requires compromise of multiple trust domains before the root key can be reconstructed.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Root key reconstruction introduces additional operational complexity and creates dependencies between KMS components during sensitive cryptographic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ADR-003  </w:t>
            </w:r>
            <w:r>
              <w:rPr>
                <w:rFonts w:ascii="Arial" w:cs="Arial" w:eastAsia="Arial" w:hAnsi="Arial"/>
                <w:b/>
                <w:bCs/>
                <w:color w:val="D6E4F0"/>
                <w:sz w:val="24"/>
                <w:szCs w:val="24"/>
              </w:rPr>
              <w:t xml:space="preserve">Platform-Managed Service Identity Keys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identity credentials must support authentication, authorization, rotation, auditing, and recovery. Service-generated identity keys improve isolation but complicate recovery and lifecycle management.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Service Identity Keys are generated and managed by KMS. Services receive operational copies for runtime use while KMS retains the authoritative copy.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approach aligns Service Identity Keys with every other key type managed by the platform. Centralized ownership supports recovery, certificate rotation, auditing, and policy enforcement while maintaining a consistent key governance model.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Compromise of KMS may affect identity credentials in addition to other key assets. Strong controls around key export and recovery workflows become critical.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ADR-004  </w:t>
            </w:r>
            <w:r>
              <w:rPr>
                <w:rFonts w:ascii="Arial" w:cs="Arial" w:eastAsia="Arial" w:hAnsi="Arial"/>
                <w:b/>
                <w:bCs/>
                <w:color w:val="D6E4F0"/>
                <w:sz w:val="24"/>
                <w:szCs w:val="24"/>
              </w:rPr>
              <w:t xml:space="preserve">Separate KMS and CSP Responsibilities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ownership and cryptographic execution represent distinct concerns. Combining both responsibilities into a single service creates a large trust boundary and complicates scaling.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owns cryptographic assets while CSP performs cryptographic operations using approved key material.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ownership from execution creates clear service boundaries. KMS focuses on governance, lifecycle management, and policy enforcement while CSP focuses on cryptographic execution. This enables CSP to remain stateless and horizontally scalable.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Additional service-to-service communication is required. CSP becomes dependent on KMS availability for cryptographic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ADR-005  </w:t>
            </w:r>
            <w:r>
              <w:rPr>
                <w:rFonts w:ascii="Arial" w:cs="Arial" w:eastAsia="Arial" w:hAnsi="Arial"/>
                <w:b/>
                <w:bCs/>
                <w:color w:val="D6E4F0"/>
                <w:sz w:val="24"/>
                <w:szCs w:val="24"/>
              </w:rPr>
              <w:t xml:space="preserve">Envelope Encryption for Secrets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Directly encrypting all secrets with high-value platform keys increases blast radius and complicates key rotation.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Secrets are encrypted using DEKs, which are themselves protected by KEKs managed by KMS.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Envelope encryption limits the impact of key compromise and enables efficient key rotation. KEKs can be rotated independently while DEKs are rewrapped as necessary.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platform must manage additional cryptographic assets and lifecycle workflows, including DEK tracking and rewrapping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ADR-006  </w:t>
            </w:r>
            <w:r>
              <w:rPr>
                <w:rFonts w:ascii="Arial" w:cs="Arial" w:eastAsia="Arial" w:hAnsi="Arial"/>
                <w:b/>
                <w:bCs/>
                <w:color w:val="D6E4F0"/>
                <w:sz w:val="24"/>
                <w:szCs w:val="24"/>
              </w:rPr>
              <w:t xml:space="preserve">SR as Policy Authority, STS as Enforcement Point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Service-to-service authorization requires a single source of truth while also supporting runtime 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SR maintains the authoritative dependency graph between services. STS validates identity and enforces authorization decisions at runtime.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policy storage from policy enforcement keeps authorization rules centralized while allowing STS to issue short-lived destination-scoped tokens.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STS becomes dependent on SR metadata and authorization accuracy. Stale or incorrect SR data directly affects runtime authorization decisions.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ADR-007  </w:t>
            </w:r>
            <w:r>
              <w:rPr>
                <w:rFonts w:ascii="Arial" w:cs="Arial" w:eastAsia="Arial" w:hAnsi="Arial"/>
                <w:b/>
                <w:bCs/>
                <w:color w:val="D6E4F0"/>
                <w:sz w:val="24"/>
                <w:szCs w:val="24"/>
              </w:rPr>
              <w:t xml:space="preserve">Token-Based Runtime Authorization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Long-lived credentials increase blast radius and make revocation difficult.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STS issues short-lived destination-scoped tokens for service-to-service communication.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Short-lived credentials reduce exposure windows and provide fine-grained authorization. Tokens can be limited to a specific destination service and operation scope.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Frequent token issuance increases runtime load on STS and introduces token lifecycle management concerns.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ADR-008  </w:t>
            </w:r>
            <w:r>
              <w:rPr>
                <w:rFonts w:ascii="Arial" w:cs="Arial" w:eastAsia="Arial" w:hAnsi="Arial"/>
                <w:b/>
                <w:bCs/>
                <w:color w:val="D6E4F0"/>
                <w:sz w:val="24"/>
                <w:szCs w:val="24"/>
              </w:rPr>
              <w:t xml:space="preserve">Event Payload Encryption Beyond TLS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TLS protects data in transit but does not protect data once it reaches intermediary systems such as event brokers or persistent queues.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Sensitive events may be signed and encrypted at the application layer before publication to the Event Bus.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Application-layer protection provides end-to-end confidentiality and integrity between producers and consumers, preventing intermediaries from accessing payload contents.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Additional cryptographic processing increases complexity and introduces transmission key management requirements.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ADR-009  </w:t>
            </w:r>
            <w:r>
              <w:rPr>
                <w:rFonts w:ascii="Arial" w:cs="Arial" w:eastAsia="Arial" w:hAnsi="Arial"/>
                <w:b/>
                <w:bCs/>
                <w:color w:val="D6E4F0"/>
                <w:sz w:val="24"/>
                <w:szCs w:val="24"/>
              </w:rPr>
              <w:t xml:space="preserve">Language Selection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platform spans multiple services with distinct concerns — high-security cryptographic operations, metadata management, and stateless execution. A single language choice optimizes for some services while creating unnecessary constraints for others. Additionally, the target job market for platform security engineering has a strong preference for Go.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Scala is used for KMS and CSP at MVP stage, leveraging existing JCE familiarity for the most security-critical services. Python is used for SR where development speed and ecosystem breadth matter more. KMS will be migrated to Go post-MVP as a deliberate career-positioning investment. The polyglot approach is intentional and reflects real-world platform engineering.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Applying existing JCE knowledge to KMS and CSP keeps cognitive load focused on security domain problems during MVP. Python's simplicity accelerates SR development. The Go migration of KMS post-MVP is documented as an intentional decision — Go is the dominant language in platform security infrastructure and fluency is close to a market requirement for this career track.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Maintaining two languages adds context-switching overhead. The post-MVP Go migration introduces rewrite risk and timeline cost. These are accepted tradeoffs given the explicit learning and career-positioning goals of the project.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ADR-010  </w:t>
            </w:r>
            <w:r>
              <w:rPr>
                <w:rFonts w:ascii="Arial" w:cs="Arial" w:eastAsia="Arial" w:hAnsi="Arial"/>
                <w:b/>
                <w:bCs/>
                <w:color w:val="D6E4F0"/>
                <w:sz w:val="24"/>
                <w:szCs w:val="24"/>
              </w:rPr>
              <w:t xml:space="preserve">Storage Engine Selection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service requires persistent storage with different data access patterns — relational metadata queries for SR, versioned secret storage for SV, encrypted key material for KMS, and certificate state for STS. Using purpose-built storage per service would be operationally complex at MVP stage.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PostgreSQL is used as the storage engine across all services. Each service owns its own database instance. No service shares a database with another.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single storage engine reduces operational overhead at MVP stage while preserving the ownership boundary intention from the design document. Each service owning its own database instance means schema changes, migrations, and access controls remain service-scoped. PostgreSQL's support for encrypted columns, row-level security, and JSONB provides sufficient flexibility for all service data models.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Individual services may eventually outgrow PostgreSQL as data models or throughput requirements evolve. The single-engine decision optimizes for MVP velocity and may require revisiting at scale.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ADR-011  </w:t>
            </w:r>
            <w:r>
              <w:rPr>
                <w:rFonts w:ascii="Arial" w:cs="Arial" w:eastAsia="Arial" w:hAnsi="Arial"/>
                <w:b/>
                <w:bCs/>
                <w:color w:val="D6E4F0"/>
                <w:sz w:val="24"/>
                <w:szCs w:val="24"/>
              </w:rPr>
              <w:t xml:space="preserve">CI/CD Pipeline and Review Controls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cryptographic platform project requires development process controls that reflect the same security philosophy as the platform itself — auditability, attribution, and controlled change management. Ad-hoc development without pipeline controls undermines the credibility of the security design.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GitHub Actions is used for CI/CD. The main branch is protected with required PR approval and required status checks before merge. Secret scanning runs on every PR to prevent accidental credential or key material commits. Docker images are built and tagged on merge to main.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 Actions is free for public repositories and has the largest ecosystem of pre-built actions. Branch protection with required checks mirrors the platform's own auditability and attribution principles — every change is reviewable and attributable. Secret scanning is especially critical for a cryptographic platform where accidental key material commits would be a serious security event.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 a free personal GitHub account, author self-approval of PRs cannot be technically prevented. This is a known limitation of solo development and is documented explicitly. In a production team environment, author-excluded approvals would be enforced at the repository settings level.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ADR-012  </w:t>
            </w:r>
            <w:r>
              <w:rPr>
                <w:rFonts w:ascii="Arial" w:cs="Arial" w:eastAsia="Arial" w:hAnsi="Arial"/>
                <w:b/>
                <w:bCs/>
                <w:color w:val="D6E4F0"/>
                <w:sz w:val="24"/>
                <w:szCs w:val="24"/>
              </w:rPr>
              <w:t xml:space="preserve">AI-Assisted Code Review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development removes the peer review signal that catches both general code quality issues and domain-specific security mistakes. A purely automated linting approach lacks the contextual understanding needed to flag security architecture violations.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Two complementary AI review tools are used as required status checks. CodeRabbit free tier provides general code quality review, PR summaries, and broad issue detection. A custom GitHub Action using the Anthropic Claude API provides security-domain specific review — flagging issues such as key material appearing in logs, missing persistence contract enforcement in CSP, illegal key state transitions, and hardcoded credentials. Both checks must pass before merge is permitted. Author self-approval is acknowledged as a solo development constraint.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General and security-specific review are distinct concerns. CodeRabbit handles breadth efficiently at no cost. The custom Claude action handles depth in the security domain where general-purpose tools have limited context. Separating the two tools keeps each focused and the combined cost for a solo project remains near zero.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CodeRabbit free tier reviews are powered by GPT-4 rather than Claude and use a general-purpose review prompt. The custom Claude action requires prompt maintenance as the platform evolves. Author self-approval remains a process gap that documentation alone cannot fully close.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ADR-013  </w:t>
            </w:r>
            <w:r>
              <w:rPr>
                <w:rFonts w:ascii="Arial" w:cs="Arial" w:eastAsia="Arial" w:hAnsi="Arial"/>
                <w:b/>
                <w:bCs/>
                <w:color w:val="D6E4F0"/>
                <w:sz w:val="24"/>
                <w:szCs w:val="24"/>
              </w:rPr>
              <w:t xml:space="preserve">Monorepo Repository Structure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platform spanning multiple services and languages requires a deliberate repository structure decision before implementation begins. The structure affects CI/CD pipeline design, documentation ownership, cross-service consistency, and the cold-reader experience of anyone reviewing the project.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 monorepo named keystone-platform is used. All services live under a services/ directory. Each service owns its own src/, tests/, docs/service.md, docs/runbook.md, Dockerfile, and build configuration. Platform-wide documentation and ADRs live under docs/ at the repo root. GitHub Actions workflows live under .github/workflows/. A lib/ directory is reserved for future cross-cutting operational concerns such as logging schemas, audit event schemas, and error structures, defined as YAML-based IDL contracts with language-specific adapter implementations. Domain logic, cryptographic utilities, and service-owned concerns are explicitly excluded from lib/.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monorepo keeps the design document, ADR log, and implementation in one place — a cold reviewer gets the full picture immediately. Per-service docs and runbook placeholders establish conventions from day one. The lib/ IDL pattern is reserved but not populated at scaffold stage — it will be introduced when polyglot drift across services creates a real need rather than an anticipated one. Multi-repo would be appropriate if independent deployment by separate teams were required, which is not the case for a solo project.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Author self-approval of PRs cannot be prevented on a free GitHub account. The monorepo structure may require path-based CI trigger configuration to avoid running all service pipelines on every commit. The Go migration of KMS post-MVP may motivate extracting KMS into its own repo at that stage — this is acknowledged as a future decision point.</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55555"/>
        <w:sz w:val="18"/>
        <w:szCs w:val="18"/>
      </w:rPr>
      <w:t xml:space="preserve">INTERNAL — DRAFT</w:t>
    </w:r>
    <w:r>
      <w:rPr>
        <w:rFonts w:ascii="Arial" w:cs="Arial" w:eastAsia="Arial" w:hAnsi="Arial"/>
        <w:color w:val="555555"/>
        <w:sz w:val="18"/>
        <w:szCs w:val="18"/>
      </w:rPr>
      <w:t xml:space="preserve">	v0.6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55555"/>
        <w:sz w:val="18"/>
        <w:szCs w:val="18"/>
      </w:rPr>
      <w:t xml:space="preserve">INTERNAL — DRAFT</w:t>
    </w:r>
    <w:r>
      <w:rPr>
        <w:rFonts w:ascii="Arial" w:cs="Arial" w:eastAsia="Arial" w:hAnsi="Arial"/>
        <w:color w:val="555555"/>
        <w:sz w:val="18"/>
        <w:szCs w:val="18"/>
      </w:rPr>
      <w:t xml:space="preserve">	v0.6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Cryptographic Platform Architecture</w:t>
    </w:r>
    <w:r>
      <w:rPr>
        <w:rFonts w:ascii="Arial" w:cs="Arial" w:eastAsia="Arial" w:hAnsi="Arial"/>
        <w:color w:val="555555"/>
        <w:sz w:val="20"/>
        <w:szCs w:val="20"/>
      </w:rPr>
      <w:t xml:space="preserve">   |   Design Document   |   Draft v0.6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Cryptographic Platform Architecture</w:t>
    </w:r>
    <w:r>
      <w:rPr>
        <w:rFonts w:ascii="Arial" w:cs="Arial" w:eastAsia="Arial" w:hAnsi="Arial"/>
        <w:color w:val="555555"/>
        <w:sz w:val="20"/>
        <w:szCs w:val="20"/>
      </w:rPr>
      <w:t xml:space="preserve">   |   Design Document   |   Draft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2026-06-04T17:54:08.625Z</dcterms:created>
  <dcterms:modified xsi:type="dcterms:W3CDTF">2026-06-04T17:54:08.639Z</dcterms:modified>
</cp:coreProperties>
</file>

<file path=docProps/custom.xml><?xml version="1.0" encoding="utf-8"?>
<Properties xmlns="http://schemas.openxmlformats.org/officeDocument/2006/custom-properties" xmlns:vt="http://schemas.openxmlformats.org/officeDocument/2006/docPropsVTypes"/>
</file>