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6E3FC">
      <w:pPr>
        <w:pStyle w:val="3"/>
        <w:rPr>
          <w:rFonts w:hint="eastAsia" w:ascii="宋体" w:hAnsi="宋体" w:eastAsia="宋体" w:cs="宋体"/>
          <w:color w:val="auto"/>
          <w:highlight w:val="none"/>
        </w:rPr>
      </w:pPr>
      <w:bookmarkStart w:id="0" w:name="_Toc1685331365"/>
      <w:bookmarkStart w:id="1" w:name="_Toc21434"/>
      <w:bookmarkStart w:id="2" w:name="_Toc54"/>
      <w:bookmarkStart w:id="3" w:name="_Toc313587032"/>
      <w:bookmarkStart w:id="4" w:name="_Toc639126935"/>
      <w:r>
        <w:rPr>
          <w:rFonts w:hint="eastAsia" w:ascii="宋体" w:hAnsi="宋体" w:eastAsia="宋体" w:cs="宋体"/>
          <w:color w:val="auto"/>
          <w:highlight w:val="none"/>
          <w:lang w:val="en-US" w:eastAsia="zh-CN"/>
        </w:rPr>
        <w:t>自主运行系统要求</w:t>
      </w:r>
      <w:bookmarkEnd w:id="0"/>
      <w:bookmarkEnd w:id="1"/>
      <w:bookmarkEnd w:id="2"/>
      <w:bookmarkEnd w:id="3"/>
      <w:bookmarkEnd w:id="4"/>
    </w:p>
    <w:p w14:paraId="2892B801">
      <w:pPr>
        <w:pStyle w:val="4"/>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PID性能评估与整定系统</w:t>
      </w:r>
    </w:p>
    <w:p w14:paraId="750120B7">
      <w:pPr>
        <w:pStyle w:val="5"/>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项目范围与目标</w:t>
      </w:r>
    </w:p>
    <w:p w14:paraId="1B6F900E">
      <w:pPr>
        <w:keepNext w:val="0"/>
        <w:keepLines w:val="0"/>
        <w:widowControl/>
        <w:suppressLineNumbers w:val="0"/>
        <w:spacing w:line="360" w:lineRule="auto"/>
        <w:jc w:val="left"/>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1）范围：PID性能评估与整定项目实施范围为</w:t>
      </w:r>
      <w:r>
        <w:rPr>
          <w:rFonts w:hint="eastAsia" w:ascii="宋体" w:hAnsi="宋体" w:eastAsia="宋体" w:cs="宋体"/>
          <w:color w:val="auto"/>
          <w:kern w:val="0"/>
          <w:sz w:val="24"/>
          <w:szCs w:val="24"/>
          <w:highlight w:val="none"/>
          <w:lang w:val="en-US" w:eastAsia="zh-CN" w:bidi="ar"/>
        </w:rPr>
        <w:t>气化、变换及热回收、低温甲醇洗、液氮洗、氨合成、PSA 制氢、CO 分离及压缩、硫回收制酸、冷冻站、甲醇装置、醋酸装置</w:t>
      </w:r>
      <w:r>
        <w:rPr>
          <w:rFonts w:hint="eastAsia" w:ascii="宋体" w:hAnsi="宋体" w:eastAsia="宋体" w:cs="宋体"/>
          <w:color w:val="auto"/>
          <w:highlight w:val="none"/>
          <w:u w:val="none"/>
          <w:lang w:val="en-US" w:eastAsia="zh-CN"/>
        </w:rPr>
        <w:t>，共1200个控制回路。完成软件部署、培训及PID参数专家整定服务。</w:t>
      </w:r>
    </w:p>
    <w:p w14:paraId="0CA9CB11">
      <w:pPr>
        <w:keepNext w:val="0"/>
        <w:keepLines w:val="0"/>
        <w:widowControl/>
        <w:suppressLineNumbers w:val="0"/>
        <w:spacing w:line="360" w:lineRule="auto"/>
        <w:jc w:val="left"/>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2）目标：对各生产装置PID控制回路性能进行批量评估，给出自控率、控制平稳率、报警次数、操作频次的实时统计数据，并提供控制回路的日、周、月等性能评估报告，实现对装置控制回路的精细化管理。</w:t>
      </w:r>
    </w:p>
    <w:p w14:paraId="0A9617BA">
      <w:pPr>
        <w:keepNext w:val="0"/>
        <w:keepLines w:val="0"/>
        <w:widowControl/>
        <w:suppressLineNumbers w:val="0"/>
        <w:spacing w:line="360" w:lineRule="auto"/>
        <w:jc w:val="left"/>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基于给出的回路详细评估报告和维护建议，准确定位回路的性能缺陷问题。</w:t>
      </w:r>
    </w:p>
    <w:p w14:paraId="4B5B77BA">
      <w:pPr>
        <w:keepNext w:val="0"/>
        <w:keepLines w:val="0"/>
        <w:widowControl/>
        <w:suppressLineNumbers w:val="0"/>
        <w:spacing w:line="360" w:lineRule="auto"/>
        <w:jc w:val="left"/>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基于PID回路运行数据，采用辨识算法获得PID回路的过程模型，采用智能控制算法优化计算PID控制器参数，辅助仪控工程师高效地开展参数整定。</w:t>
      </w:r>
    </w:p>
    <w:p w14:paraId="113A5B9D">
      <w:pPr>
        <w:keepNext w:val="0"/>
        <w:keepLines w:val="0"/>
        <w:widowControl/>
        <w:suppressLineNumbers w:val="0"/>
        <w:spacing w:line="360" w:lineRule="auto"/>
        <w:jc w:val="left"/>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根据回路辨识模型及优化得出的PID控制器参数，对PID回路进行闭环响应仿真，给出整定结果可信度，闭环阶跃响应曲线，数据激励指数，闭环频域响应分析等仿真和分析结果，为PID整定工作提供支撑。</w:t>
      </w:r>
    </w:p>
    <w:p w14:paraId="22D56599">
      <w:pPr>
        <w:keepNext w:val="0"/>
        <w:keepLines w:val="0"/>
        <w:widowControl/>
        <w:suppressLineNumbers w:val="0"/>
        <w:spacing w:line="360" w:lineRule="auto"/>
        <w:jc w:val="left"/>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针对缺少有效历史数据的回路，采用基于数据和模型驱动的迁移学习和交互式整定策略，给出合适的PID参数，改善PID控制回路的控制性能，提高装置整体自控率，为装置的平稳运行提供保障。</w:t>
      </w:r>
    </w:p>
    <w:p w14:paraId="188805C3">
      <w:pPr>
        <w:keepNext w:val="0"/>
        <w:keepLines w:val="0"/>
        <w:widowControl/>
        <w:suppressLineNumbers w:val="0"/>
        <w:spacing w:line="360" w:lineRule="auto"/>
        <w:jc w:val="left"/>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提高PID控制回路的运维管理水平，实现PID控制回路的集中量化管理和智能运维，降低回路运维门槛和工作强度，提高回路运维效率。</w:t>
      </w:r>
    </w:p>
    <w:p w14:paraId="74654D11">
      <w:pPr>
        <w:keepNext w:val="0"/>
        <w:keepLines w:val="0"/>
        <w:widowControl/>
        <w:suppressLineNumbers w:val="0"/>
        <w:spacing w:line="360" w:lineRule="auto"/>
        <w:jc w:val="left"/>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通过对PID回路进行性能评估与参数整定，提高装置的自控率：实现装置自控率≥95%；（仪表阀门异常和工艺原因除外）。</w:t>
      </w:r>
    </w:p>
    <w:p w14:paraId="0A9AB807">
      <w:pPr>
        <w:pStyle w:val="5"/>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系统功能要求</w:t>
      </w:r>
    </w:p>
    <w:p w14:paraId="059A99A1">
      <w:pPr>
        <w:numPr>
          <w:ilvl w:val="0"/>
          <w:numId w:val="2"/>
        </w:numPr>
        <w:ind w:left="425" w:leftChars="0" w:firstLine="55" w:firstLineChars="0"/>
        <w:rPr>
          <w:rFonts w:hint="eastAsia" w:ascii="宋体" w:hAnsi="宋体" w:eastAsia="宋体" w:cs="宋体"/>
          <w:b/>
          <w:bCs/>
          <w:color w:val="auto"/>
          <w:highlight w:val="none"/>
          <w:u w:val="none"/>
          <w:lang w:val="en-US" w:eastAsia="zh-CN"/>
        </w:rPr>
      </w:pPr>
      <w:bookmarkStart w:id="5" w:name="_Toc25505202"/>
      <w:r>
        <w:rPr>
          <w:rFonts w:hint="eastAsia" w:ascii="宋体" w:hAnsi="宋体" w:eastAsia="宋体" w:cs="宋体"/>
          <w:b/>
          <w:bCs/>
          <w:color w:val="auto"/>
          <w:highlight w:val="none"/>
          <w:u w:val="none"/>
          <w:lang w:val="en-US" w:eastAsia="zh-CN"/>
        </w:rPr>
        <w:t>数据采集</w:t>
      </w:r>
    </w:p>
    <w:p w14:paraId="000EE51E">
      <w:pPr>
        <w:numPr>
          <w:ilvl w:val="0"/>
          <w:numId w:val="0"/>
        </w:numPr>
        <w:ind w:firstLine="480" w:firstLineChars="200"/>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通过各装置DCS系统OPC通讯接口，实时采集</w:t>
      </w:r>
      <w:r>
        <w:rPr>
          <w:rFonts w:hint="eastAsia" w:ascii="宋体" w:hAnsi="宋体" w:cs="宋体"/>
          <w:color w:val="auto"/>
          <w:highlight w:val="none"/>
          <w:u w:val="none"/>
          <w:lang w:val="en-US" w:eastAsia="zh-CN"/>
        </w:rPr>
        <w:t>控</w:t>
      </w:r>
      <w:r>
        <w:rPr>
          <w:rFonts w:hint="eastAsia" w:ascii="宋体" w:hAnsi="宋体" w:eastAsia="宋体" w:cs="宋体"/>
          <w:color w:val="auto"/>
          <w:highlight w:val="none"/>
          <w:u w:val="none"/>
          <w:lang w:val="en-US" w:eastAsia="zh-CN"/>
        </w:rPr>
        <w:t>制回路的相关运行数据并完成数据存储。</w:t>
      </w:r>
    </w:p>
    <w:p w14:paraId="28F26259">
      <w:pPr>
        <w:numPr>
          <w:ilvl w:val="0"/>
          <w:numId w:val="2"/>
        </w:numPr>
        <w:ind w:left="425" w:leftChars="0" w:firstLine="55" w:firstLineChars="0"/>
        <w:rPr>
          <w:rFonts w:hint="eastAsia" w:ascii="宋体" w:hAnsi="宋体" w:eastAsia="宋体" w:cs="宋体"/>
          <w:b/>
          <w:bCs/>
          <w:color w:val="auto"/>
          <w:highlight w:val="none"/>
          <w:u w:val="none"/>
          <w:lang w:val="en-US" w:eastAsia="zh-CN"/>
        </w:rPr>
      </w:pPr>
      <w:r>
        <w:rPr>
          <w:rFonts w:hint="eastAsia" w:ascii="宋体" w:hAnsi="宋体" w:eastAsia="宋体" w:cs="宋体"/>
          <w:b/>
          <w:bCs/>
          <w:color w:val="auto"/>
          <w:highlight w:val="none"/>
          <w:u w:val="none"/>
          <w:lang w:val="en-US" w:eastAsia="zh-CN"/>
        </w:rPr>
        <w:t>控制回路自控率和平稳率监控</w:t>
      </w:r>
      <w:bookmarkEnd w:id="5"/>
      <w:r>
        <w:rPr>
          <w:rFonts w:hint="eastAsia" w:ascii="宋体" w:hAnsi="宋体" w:eastAsia="宋体" w:cs="宋体"/>
          <w:b/>
          <w:bCs/>
          <w:color w:val="auto"/>
          <w:highlight w:val="none"/>
          <w:u w:val="none"/>
          <w:lang w:val="en-US" w:eastAsia="zh-CN"/>
        </w:rPr>
        <w:t>和远程WEB访问</w:t>
      </w:r>
    </w:p>
    <w:p w14:paraId="408CB49D">
      <w:pPr>
        <w:numPr>
          <w:ilvl w:val="0"/>
          <w:numId w:val="0"/>
        </w:numPr>
        <w:ind w:firstLine="480" w:firstLineChars="200"/>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PID性能评估系统自动采集PID回路的生产运行数据，自动实时统计监控PID回路的自控率、平稳率等信息。能够在授权计算机上查询项目实施后5年内任意时间段（任何年、任何月，或者天）、任意单元、任意回路的自控率、控制平稳率，并能够进行自控率、控制平稳率的排序和评比。</w:t>
      </w:r>
    </w:p>
    <w:p w14:paraId="59510ABD">
      <w:pPr>
        <w:numPr>
          <w:ilvl w:val="0"/>
          <w:numId w:val="2"/>
        </w:numPr>
        <w:ind w:left="425" w:leftChars="0" w:firstLine="55" w:firstLineChars="0"/>
        <w:rPr>
          <w:rFonts w:hint="eastAsia" w:ascii="宋体" w:hAnsi="宋体" w:eastAsia="宋体" w:cs="宋体"/>
          <w:b/>
          <w:bCs/>
          <w:color w:val="auto"/>
          <w:highlight w:val="none"/>
          <w:u w:val="none"/>
          <w:lang w:val="en-US" w:eastAsia="zh-CN"/>
        </w:rPr>
      </w:pPr>
      <w:bookmarkStart w:id="6" w:name="_Toc25505203"/>
      <w:r>
        <w:rPr>
          <w:rFonts w:hint="eastAsia" w:ascii="宋体" w:hAnsi="宋体" w:eastAsia="宋体" w:cs="宋体"/>
          <w:b/>
          <w:bCs/>
          <w:color w:val="auto"/>
          <w:highlight w:val="none"/>
          <w:u w:val="none"/>
          <w:lang w:val="en-US" w:eastAsia="zh-CN"/>
        </w:rPr>
        <w:t>控制回路性能评估</w:t>
      </w:r>
      <w:bookmarkEnd w:id="6"/>
    </w:p>
    <w:p w14:paraId="54AC5DDF">
      <w:pPr>
        <w:numPr>
          <w:ilvl w:val="0"/>
          <w:numId w:val="0"/>
        </w:numPr>
        <w:ind w:firstLine="480" w:firstLineChars="200"/>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利用PID控制性能多维度分析工具，结合专家经验知识，评估分析PID回路的运行性能，给出优、良、中、差、开环等评级，快速发现PID回路存在的性能问题，通过雷达图分析法直观、形象</w:t>
      </w:r>
      <w:r>
        <w:rPr>
          <w:rFonts w:hint="eastAsia" w:ascii="宋体" w:hAnsi="宋体" w:cs="宋体"/>
          <w:color w:val="auto"/>
          <w:highlight w:val="none"/>
          <w:u w:val="none"/>
          <w:lang w:val="en-US" w:eastAsia="zh-CN"/>
        </w:rPr>
        <w:t>地</w:t>
      </w:r>
      <w:r>
        <w:rPr>
          <w:rFonts w:hint="eastAsia" w:ascii="宋体" w:hAnsi="宋体" w:eastAsia="宋体" w:cs="宋体"/>
          <w:color w:val="auto"/>
          <w:highlight w:val="none"/>
          <w:u w:val="none"/>
          <w:lang w:val="en-US" w:eastAsia="zh-CN"/>
        </w:rPr>
        <w:t>综合分析影响回路性能问题的原因，给出评估建议。</w:t>
      </w:r>
    </w:p>
    <w:p w14:paraId="62B22DB8">
      <w:pPr>
        <w:numPr>
          <w:ilvl w:val="0"/>
          <w:numId w:val="2"/>
        </w:numPr>
        <w:ind w:left="425" w:leftChars="0" w:firstLine="55" w:firstLineChars="0"/>
        <w:rPr>
          <w:rFonts w:hint="eastAsia" w:ascii="宋体" w:hAnsi="宋体" w:eastAsia="宋体" w:cs="宋体"/>
          <w:b/>
          <w:bCs/>
          <w:color w:val="auto"/>
          <w:highlight w:val="none"/>
          <w:u w:val="none"/>
          <w:lang w:val="en-US" w:eastAsia="zh-CN"/>
        </w:rPr>
      </w:pPr>
      <w:bookmarkStart w:id="7" w:name="_Toc25505204"/>
      <w:r>
        <w:rPr>
          <w:rFonts w:hint="eastAsia" w:ascii="宋体" w:hAnsi="宋体" w:eastAsia="宋体" w:cs="宋体"/>
          <w:b/>
          <w:bCs/>
          <w:color w:val="auto"/>
          <w:highlight w:val="none"/>
          <w:u w:val="none"/>
          <w:lang w:val="en-US" w:eastAsia="zh-CN"/>
        </w:rPr>
        <w:t>控制回路性能指标</w:t>
      </w:r>
      <w:bookmarkEnd w:id="7"/>
    </w:p>
    <w:p w14:paraId="5766FE33">
      <w:pPr>
        <w:pStyle w:val="2"/>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性能评估中的性能指标包括：自控率、平稳率、性能评分、性能级别、控制性能指标、参考时间、振荡状况、振荡周期、振荡幅值、非线性程度、阀门幅值、饱和率、粘滞状况、粘滞系数等。</w:t>
      </w:r>
    </w:p>
    <w:p w14:paraId="62D59375">
      <w:pPr>
        <w:numPr>
          <w:ilvl w:val="0"/>
          <w:numId w:val="2"/>
        </w:numPr>
        <w:ind w:left="425" w:leftChars="0" w:firstLine="55" w:firstLineChars="0"/>
        <w:rPr>
          <w:rFonts w:hint="eastAsia" w:ascii="宋体" w:hAnsi="宋体" w:eastAsia="宋体" w:cs="宋体"/>
          <w:b/>
          <w:bCs/>
          <w:color w:val="auto"/>
          <w:highlight w:val="none"/>
          <w:u w:val="none"/>
          <w:lang w:val="en-US" w:eastAsia="zh-CN"/>
        </w:rPr>
      </w:pPr>
      <w:bookmarkStart w:id="8" w:name="_Toc25505205"/>
      <w:r>
        <w:rPr>
          <w:rFonts w:hint="eastAsia" w:ascii="宋体" w:hAnsi="宋体" w:eastAsia="宋体" w:cs="宋体"/>
          <w:b/>
          <w:bCs/>
          <w:color w:val="auto"/>
          <w:highlight w:val="none"/>
          <w:u w:val="none"/>
          <w:lang w:val="en-US" w:eastAsia="zh-CN"/>
        </w:rPr>
        <w:t>回路故障检测</w:t>
      </w:r>
      <w:bookmarkEnd w:id="8"/>
    </w:p>
    <w:p w14:paraId="30B0EDB4">
      <w:pPr>
        <w:numPr>
          <w:ilvl w:val="0"/>
          <w:numId w:val="0"/>
        </w:numPr>
        <w:ind w:firstLine="480" w:firstLineChars="200"/>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控制回路性能评估软件通过评估能够发现阀门粘滞、过程扰动、回路耦合、分布式振荡等故障。</w:t>
      </w:r>
    </w:p>
    <w:p w14:paraId="1B3E98A2">
      <w:pPr>
        <w:numPr>
          <w:ilvl w:val="0"/>
          <w:numId w:val="2"/>
        </w:numPr>
        <w:ind w:left="425" w:leftChars="0" w:firstLine="55" w:firstLineChars="0"/>
        <w:rPr>
          <w:rFonts w:hint="eastAsia" w:ascii="宋体" w:hAnsi="宋体" w:eastAsia="宋体" w:cs="宋体"/>
          <w:b/>
          <w:bCs/>
          <w:color w:val="auto"/>
          <w:highlight w:val="none"/>
          <w:u w:val="none"/>
          <w:lang w:val="en-US" w:eastAsia="zh-CN"/>
        </w:rPr>
      </w:pPr>
      <w:r>
        <w:rPr>
          <w:rFonts w:hint="eastAsia" w:ascii="宋体" w:hAnsi="宋体" w:eastAsia="宋体" w:cs="宋体"/>
          <w:b/>
          <w:bCs/>
          <w:color w:val="auto"/>
          <w:highlight w:val="none"/>
          <w:u w:val="none"/>
          <w:lang w:val="en-US" w:eastAsia="zh-CN"/>
        </w:rPr>
        <w:t>普通PID整定与交互式PID整定</w:t>
      </w:r>
    </w:p>
    <w:p w14:paraId="3FAF4292">
      <w:pPr>
        <w:numPr>
          <w:ilvl w:val="0"/>
          <w:numId w:val="0"/>
        </w:numPr>
        <w:ind w:firstLine="480" w:firstLineChars="200"/>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普通整定主要基于实时和历史数据，采用基于智能控制算法及系统期望闭环响应的搜索算法两种方式给出控制器参数。</w:t>
      </w:r>
    </w:p>
    <w:p w14:paraId="4911ED1A">
      <w:pPr>
        <w:numPr>
          <w:ilvl w:val="0"/>
          <w:numId w:val="0"/>
        </w:numPr>
        <w:ind w:firstLine="480" w:firstLineChars="200"/>
        <w:rPr>
          <w:rFonts w:hint="eastAsia" w:ascii="宋体" w:hAnsi="宋体" w:eastAsia="宋体" w:cs="宋体"/>
          <w:color w:val="auto"/>
          <w:highlight w:val="none"/>
          <w:u w:val="none"/>
          <w:lang w:val="en-US" w:eastAsia="zh-CN"/>
        </w:rPr>
      </w:pPr>
      <w:r>
        <w:rPr>
          <w:rFonts w:hint="eastAsia" w:ascii="宋体" w:hAnsi="宋体" w:eastAsia="宋体" w:cs="宋体"/>
          <w:color w:val="auto"/>
          <w:highlight w:val="none"/>
          <w:u w:val="none"/>
          <w:lang w:val="en-US" w:eastAsia="zh-CN"/>
        </w:rPr>
        <w:t>交互式整定应用于回路历史数据不足或者激励不够，辨识效果不佳的情况下，通过软件内置的专家经验库以及趋势线法和特征点法两种交互式整定算法，经过软件计算和用户对回路的特征评价给出新的PID</w:t>
      </w:r>
      <w:r>
        <w:rPr>
          <w:rFonts w:hint="eastAsia" w:ascii="宋体" w:hAnsi="宋体" w:cs="宋体"/>
          <w:color w:val="auto"/>
          <w:highlight w:val="none"/>
          <w:u w:val="none"/>
          <w:lang w:val="en-US" w:eastAsia="zh-CN"/>
        </w:rPr>
        <w:t>优化</w:t>
      </w:r>
      <w:r>
        <w:rPr>
          <w:rFonts w:hint="eastAsia" w:ascii="宋体" w:hAnsi="宋体" w:eastAsia="宋体" w:cs="宋体"/>
          <w:color w:val="auto"/>
          <w:highlight w:val="none"/>
          <w:u w:val="none"/>
          <w:lang w:val="en-US" w:eastAsia="zh-CN"/>
        </w:rPr>
        <w:t>参数，通过几次迭代进一步提升回路性能。</w:t>
      </w:r>
    </w:p>
    <w:p w14:paraId="0FA80317">
      <w:pPr>
        <w:numPr>
          <w:ilvl w:val="0"/>
          <w:numId w:val="2"/>
        </w:numPr>
        <w:ind w:left="425" w:leftChars="0" w:firstLine="55" w:firstLineChars="0"/>
        <w:rPr>
          <w:rFonts w:hint="eastAsia" w:ascii="宋体" w:hAnsi="宋体" w:eastAsia="宋体" w:cs="宋体"/>
          <w:b/>
          <w:bCs/>
          <w:color w:val="auto"/>
          <w:highlight w:val="none"/>
          <w:u w:val="none"/>
          <w:lang w:val="en-US" w:eastAsia="zh-CN"/>
        </w:rPr>
      </w:pPr>
      <w:r>
        <w:rPr>
          <w:rFonts w:hint="eastAsia" w:ascii="宋体" w:hAnsi="宋体" w:eastAsia="宋体" w:cs="宋体"/>
          <w:b/>
          <w:bCs/>
          <w:color w:val="auto"/>
          <w:highlight w:val="none"/>
          <w:u w:val="none"/>
          <w:lang w:val="en-US" w:eastAsia="zh-CN"/>
        </w:rPr>
        <w:t>其他</w:t>
      </w:r>
    </w:p>
    <w:p w14:paraId="61ADAD11">
      <w:pPr>
        <w:pStyle w:val="2"/>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支持OPC DA等行业主流的通讯协议。</w:t>
      </w:r>
    </w:p>
    <w:p w14:paraId="733C0C7E">
      <w:pPr>
        <w:pStyle w:val="2"/>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软件商业化应用不低于</w:t>
      </w:r>
      <w:r>
        <w:rPr>
          <w:rFonts w:hint="eastAsia" w:ascii="宋体" w:hAnsi="宋体" w:cs="宋体"/>
          <w:color w:val="auto"/>
          <w:sz w:val="24"/>
          <w:szCs w:val="24"/>
          <w:highlight w:val="none"/>
          <w:lang w:val="en-US" w:eastAsia="zh-CN"/>
        </w:rPr>
        <w:t>5</w:t>
      </w:r>
      <w:r>
        <w:rPr>
          <w:rFonts w:hint="eastAsia" w:ascii="宋体" w:hAnsi="宋体" w:eastAsia="宋体" w:cs="宋体"/>
          <w:color w:val="auto"/>
          <w:sz w:val="24"/>
          <w:szCs w:val="24"/>
          <w:highlight w:val="none"/>
        </w:rPr>
        <w:t>年，软件具备合法知识产权，提供软件著作权证书</w:t>
      </w:r>
      <w:r>
        <w:rPr>
          <w:rFonts w:hint="eastAsia" w:ascii="宋体" w:hAnsi="宋体" w:cs="宋体"/>
          <w:color w:val="auto"/>
          <w:sz w:val="24"/>
          <w:szCs w:val="24"/>
          <w:highlight w:val="none"/>
          <w:lang w:val="en-US" w:eastAsia="zh-CN"/>
        </w:rPr>
        <w:t>/</w:t>
      </w:r>
      <w:r>
        <w:rPr>
          <w:rFonts w:hint="eastAsia" w:ascii="宋体" w:hAnsi="宋体" w:eastAsia="宋体" w:cs="宋体"/>
          <w:color w:val="auto"/>
          <w:sz w:val="24"/>
          <w:szCs w:val="24"/>
          <w:highlight w:val="none"/>
        </w:rPr>
        <w:t>化工行业相关案例合同。</w:t>
      </w:r>
    </w:p>
    <w:p w14:paraId="411AA44B">
      <w:pPr>
        <w:pStyle w:val="2"/>
        <w:rPr>
          <w:rFonts w:hint="eastAsia" w:ascii="宋体" w:hAnsi="宋体" w:eastAsia="宋体" w:cs="宋体"/>
          <w:color w:val="auto"/>
          <w:sz w:val="24"/>
          <w:szCs w:val="24"/>
          <w:highlight w:val="none"/>
        </w:rPr>
      </w:pPr>
      <w:r>
        <w:rPr>
          <w:rFonts w:hint="eastAsia" w:ascii="宋体" w:hAnsi="宋体" w:eastAsia="宋体" w:cs="宋体"/>
          <w:color w:val="auto"/>
          <w:sz w:val="24"/>
          <w:szCs w:val="24"/>
          <w:highlight w:val="none"/>
        </w:rPr>
        <w:t>中标方提供专家整定服务与专业培训，优化装置PID回路参数，确保业主掌握PID人工整定方法。</w:t>
      </w:r>
    </w:p>
    <w:p w14:paraId="0C7BE285">
      <w:pPr>
        <w:pStyle w:val="2"/>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中标方提供≥200 人天的专家整定服务与专业培训（根据客户需要，从现场试车时开始），优化装置PID回路参数，确保业主掌握PID人工整定方法。</w:t>
      </w:r>
    </w:p>
    <w:p w14:paraId="59BB20B7">
      <w:pPr>
        <w:pStyle w:val="5"/>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系统集成要求</w:t>
      </w:r>
    </w:p>
    <w:p w14:paraId="09C63D17">
      <w:pPr>
        <w:keepNext w:val="0"/>
        <w:keepLines w:val="0"/>
        <w:widowControl/>
        <w:suppressLineNumbers w:val="0"/>
        <w:jc w:val="left"/>
        <w:rPr>
          <w:rFonts w:hint="eastAsia" w:ascii="宋体" w:hAnsi="宋体" w:eastAsia="宋体" w:cs="宋体"/>
          <w:color w:val="auto"/>
          <w:szCs w:val="24"/>
          <w:highlight w:val="none"/>
        </w:rPr>
      </w:pPr>
      <w:r>
        <w:rPr>
          <w:rFonts w:hint="eastAsia" w:ascii="宋体" w:hAnsi="宋体" w:eastAsia="宋体" w:cs="宋体"/>
          <w:i w:val="0"/>
          <w:iCs w:val="0"/>
          <w:caps w:val="0"/>
          <w:color w:val="auto"/>
          <w:spacing w:val="0"/>
          <w:kern w:val="2"/>
          <w:sz w:val="24"/>
          <w:szCs w:val="24"/>
          <w:highlight w:val="none"/>
          <w:shd w:val="clear"/>
          <w:lang w:val="en-US" w:eastAsia="zh-CN" w:bidi="ar"/>
        </w:rPr>
        <w:t>与底层控制系统实现</w:t>
      </w:r>
      <w:r>
        <w:rPr>
          <w:rFonts w:hint="eastAsia" w:ascii="宋体" w:hAnsi="宋体" w:eastAsia="宋体" w:cs="宋体"/>
          <w:b w:val="0"/>
          <w:bCs w:val="0"/>
          <w:i w:val="0"/>
          <w:iCs w:val="0"/>
          <w:caps w:val="0"/>
          <w:color w:val="auto"/>
          <w:spacing w:val="0"/>
          <w:kern w:val="2"/>
          <w:sz w:val="24"/>
          <w:szCs w:val="24"/>
          <w:highlight w:val="none"/>
          <w:shd w:val="clear"/>
          <w:lang w:val="en-US" w:eastAsia="zh-CN" w:bidi="ar"/>
        </w:rPr>
        <w:t>安全、稳定的双向通信</w:t>
      </w:r>
      <w:r>
        <w:rPr>
          <w:rFonts w:hint="eastAsia" w:ascii="宋体" w:hAnsi="宋体" w:eastAsia="宋体" w:cs="宋体"/>
          <w:i w:val="0"/>
          <w:iCs w:val="0"/>
          <w:caps w:val="0"/>
          <w:color w:val="auto"/>
          <w:spacing w:val="0"/>
          <w:kern w:val="2"/>
          <w:sz w:val="24"/>
          <w:szCs w:val="24"/>
          <w:highlight w:val="none"/>
          <w:shd w:val="clear"/>
          <w:lang w:val="en-US" w:eastAsia="zh-CN" w:bidi="ar"/>
        </w:rPr>
        <w:t>，监控、评估、整定记录与</w:t>
      </w:r>
      <w:r>
        <w:rPr>
          <w:rFonts w:hint="eastAsia" w:ascii="宋体" w:hAnsi="宋体" w:cs="宋体"/>
          <w:i w:val="0"/>
          <w:iCs w:val="0"/>
          <w:caps w:val="0"/>
          <w:color w:val="auto"/>
          <w:spacing w:val="0"/>
          <w:kern w:val="2"/>
          <w:sz w:val="24"/>
          <w:szCs w:val="24"/>
          <w:highlight w:val="none"/>
          <w:shd w:val="clear"/>
          <w:lang w:val="en-US" w:eastAsia="zh-CN" w:bidi="ar"/>
        </w:rPr>
        <w:t>知识</w:t>
      </w:r>
      <w:r>
        <w:rPr>
          <w:rFonts w:hint="eastAsia" w:ascii="宋体" w:hAnsi="宋体" w:eastAsia="宋体" w:cs="宋体"/>
          <w:b w:val="0"/>
          <w:bCs w:val="0"/>
          <w:i w:val="0"/>
          <w:iCs w:val="0"/>
          <w:caps w:val="0"/>
          <w:color w:val="auto"/>
          <w:spacing w:val="0"/>
          <w:kern w:val="2"/>
          <w:sz w:val="24"/>
          <w:szCs w:val="24"/>
          <w:highlight w:val="none"/>
          <w:shd w:val="clear"/>
          <w:lang w:val="en-US" w:eastAsia="zh-CN" w:bidi="ar"/>
        </w:rPr>
        <w:t>无缝集成至上层生产执行系统和工业互联网平台</w:t>
      </w:r>
      <w:r>
        <w:rPr>
          <w:rFonts w:hint="eastAsia" w:ascii="宋体" w:hAnsi="宋体" w:eastAsia="宋体" w:cs="宋体"/>
          <w:i w:val="0"/>
          <w:iCs w:val="0"/>
          <w:caps w:val="0"/>
          <w:color w:val="auto"/>
          <w:spacing w:val="0"/>
          <w:kern w:val="2"/>
          <w:sz w:val="24"/>
          <w:szCs w:val="24"/>
          <w:highlight w:val="none"/>
          <w:shd w:val="clear"/>
          <w:lang w:val="en-US" w:eastAsia="zh-CN" w:bidi="ar"/>
        </w:rPr>
        <w:t>。</w:t>
      </w:r>
    </w:p>
    <w:p w14:paraId="1C6764AE">
      <w:pPr>
        <w:pStyle w:val="5"/>
        <w:rPr>
          <w:rFonts w:hint="default"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硬件要求（系统要求及配置清单）</w:t>
      </w:r>
    </w:p>
    <w:tbl>
      <w:tblPr>
        <w:tblStyle w:val="6"/>
        <w:tblW w:w="9071" w:type="dxa"/>
        <w:jc w:val="center"/>
        <w:tblLayout w:type="autofit"/>
        <w:tblCellMar>
          <w:top w:w="0" w:type="dxa"/>
          <w:left w:w="0" w:type="dxa"/>
          <w:bottom w:w="0" w:type="dxa"/>
          <w:right w:w="0" w:type="dxa"/>
        </w:tblCellMar>
      </w:tblPr>
      <w:tblGrid>
        <w:gridCol w:w="571"/>
        <w:gridCol w:w="1981"/>
        <w:gridCol w:w="5175"/>
        <w:gridCol w:w="672"/>
        <w:gridCol w:w="672"/>
      </w:tblGrid>
      <w:tr w14:paraId="27E33921">
        <w:tblPrEx>
          <w:tblCellMar>
            <w:top w:w="0" w:type="dxa"/>
            <w:left w:w="0" w:type="dxa"/>
            <w:bottom w:w="0" w:type="dxa"/>
            <w:right w:w="0" w:type="dxa"/>
          </w:tblCellMar>
        </w:tblPrEx>
        <w:trPr>
          <w:trHeight w:val="330"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144B123D">
            <w:pPr>
              <w:numPr>
                <w:ilvl w:val="0"/>
                <w:numId w:val="0"/>
              </w:numP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序号</w:t>
            </w:r>
          </w:p>
        </w:tc>
        <w:tc>
          <w:tcPr>
            <w:tcW w:w="1092"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51802DE3">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名称</w:t>
            </w:r>
          </w:p>
        </w:tc>
        <w:tc>
          <w:tcPr>
            <w:tcW w:w="2851"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5D4CF9B2">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规格型号</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20002755">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单位</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36E5886D">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数量</w:t>
            </w:r>
          </w:p>
        </w:tc>
      </w:tr>
      <w:tr w14:paraId="3572F9D3">
        <w:tblPrEx>
          <w:tblCellMar>
            <w:top w:w="0" w:type="dxa"/>
            <w:left w:w="0" w:type="dxa"/>
            <w:bottom w:w="0" w:type="dxa"/>
            <w:right w:w="0" w:type="dxa"/>
          </w:tblCellMar>
        </w:tblPrEx>
        <w:trPr>
          <w:trHeight w:val="260"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2192E650">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c>
          <w:tcPr>
            <w:tcW w:w="1092"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24FE6921">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服务器</w:t>
            </w:r>
          </w:p>
        </w:tc>
        <w:tc>
          <w:tcPr>
            <w:tcW w:w="5175" w:type="dxa"/>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64D9D9A9">
            <w:pPr>
              <w:numPr>
                <w:ilvl w:val="0"/>
                <w:numId w:val="0"/>
              </w:numPr>
              <w:spacing w:line="240" w:lineRule="auto"/>
              <w:jc w:val="left"/>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不低于以下配置：</w:t>
            </w:r>
          </w:p>
          <w:p w14:paraId="502062C3">
            <w:pPr>
              <w:numPr>
                <w:ilvl w:val="0"/>
                <w:numId w:val="0"/>
              </w:numPr>
              <w:spacing w:line="240" w:lineRule="auto"/>
              <w:jc w:val="left"/>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主频：32 核，</w:t>
            </w:r>
            <w:r>
              <w:rPr>
                <w:rFonts w:hint="eastAsia" w:ascii="宋体" w:hAnsi="宋体" w:cs="宋体"/>
                <w:color w:val="auto"/>
                <w:sz w:val="21"/>
                <w:szCs w:val="21"/>
                <w:highlight w:val="none"/>
                <w:u w:val="none"/>
                <w:lang w:val="en-US" w:eastAsia="zh-CN"/>
              </w:rPr>
              <w:t>3.1</w:t>
            </w:r>
            <w:r>
              <w:rPr>
                <w:rFonts w:hint="eastAsia" w:ascii="宋体" w:hAnsi="宋体" w:eastAsia="宋体" w:cs="宋体"/>
                <w:color w:val="auto"/>
                <w:sz w:val="21"/>
                <w:szCs w:val="21"/>
                <w:highlight w:val="none"/>
                <w:u w:val="none"/>
                <w:lang w:val="en-US" w:eastAsia="zh-CN"/>
              </w:rPr>
              <w:t xml:space="preserve">GHz 及以上 </w:t>
            </w:r>
          </w:p>
          <w:p w14:paraId="75BEDF56">
            <w:pPr>
              <w:numPr>
                <w:ilvl w:val="0"/>
                <w:numId w:val="0"/>
              </w:numPr>
              <w:spacing w:line="240" w:lineRule="auto"/>
              <w:jc w:val="left"/>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内存：64G</w:t>
            </w:r>
          </w:p>
          <w:p w14:paraId="78790168">
            <w:pPr>
              <w:numPr>
                <w:ilvl w:val="0"/>
                <w:numId w:val="0"/>
              </w:numPr>
              <w:spacing w:line="240" w:lineRule="auto"/>
              <w:ind w:left="0" w:leftChars="0" w:firstLine="0" w:firstLineChars="0"/>
              <w:jc w:val="left"/>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硬盘容量：4T(SSD)</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0DBB2834">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台</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42EC7D2F">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r>
      <w:tr w14:paraId="5D63E9CD">
        <w:tblPrEx>
          <w:tblCellMar>
            <w:top w:w="0" w:type="dxa"/>
            <w:left w:w="0" w:type="dxa"/>
            <w:bottom w:w="0" w:type="dxa"/>
            <w:right w:w="0" w:type="dxa"/>
          </w:tblCellMar>
        </w:tblPrEx>
        <w:trPr>
          <w:trHeight w:val="356"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6725AA70">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2</w:t>
            </w:r>
          </w:p>
        </w:tc>
        <w:tc>
          <w:tcPr>
            <w:tcW w:w="1092"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5BF40597">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操作系统</w:t>
            </w:r>
          </w:p>
        </w:tc>
        <w:tc>
          <w:tcPr>
            <w:tcW w:w="5175" w:type="dxa"/>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4E3476C3">
            <w:pPr>
              <w:numPr>
                <w:ilvl w:val="0"/>
                <w:numId w:val="0"/>
              </w:numPr>
              <w:ind w:left="0" w:leftChars="0" w:firstLine="0" w:firstLineChars="0"/>
              <w:rPr>
                <w:rFonts w:hint="eastAsia" w:ascii="宋体" w:hAnsi="宋体" w:eastAsia="宋体" w:cs="宋体"/>
                <w:color w:val="auto"/>
                <w:sz w:val="21"/>
                <w:szCs w:val="21"/>
                <w:highlight w:val="none"/>
                <w:u w:val="none"/>
                <w:lang w:val="en-US" w:eastAsia="zh-CN"/>
              </w:rPr>
            </w:pPr>
            <w:r>
              <w:rPr>
                <w:rFonts w:hint="eastAsia" w:ascii="宋体" w:hAnsi="宋体" w:cs="宋体"/>
                <w:color w:val="auto"/>
                <w:sz w:val="21"/>
                <w:szCs w:val="21"/>
                <w:highlight w:val="none"/>
                <w:u w:val="none"/>
                <w:lang w:val="en-US" w:eastAsia="zh-CN"/>
              </w:rPr>
              <w:t>国产</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7E263017">
            <w:pPr>
              <w:numPr>
                <w:ilvl w:val="0"/>
                <w:numId w:val="0"/>
              </w:numPr>
              <w:ind w:left="0" w:leftChars="0" w:firstLine="0" w:firstLineChars="0"/>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套</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13228FA9">
            <w:pPr>
              <w:numPr>
                <w:ilvl w:val="0"/>
                <w:numId w:val="0"/>
              </w:numPr>
              <w:ind w:left="0" w:leftChars="0" w:firstLine="0" w:firstLineChars="0"/>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r>
      <w:tr w14:paraId="021527A3">
        <w:tblPrEx>
          <w:tblCellMar>
            <w:top w:w="0" w:type="dxa"/>
            <w:left w:w="0" w:type="dxa"/>
            <w:bottom w:w="0" w:type="dxa"/>
            <w:right w:w="0" w:type="dxa"/>
          </w:tblCellMar>
        </w:tblPrEx>
        <w:trPr>
          <w:trHeight w:val="356"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027D93BF">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3</w:t>
            </w:r>
          </w:p>
        </w:tc>
        <w:tc>
          <w:tcPr>
            <w:tcW w:w="1092"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4908BA56">
            <w:pPr>
              <w:numPr>
                <w:ilvl w:val="0"/>
                <w:numId w:val="0"/>
              </w:numPr>
              <w:spacing w:line="240" w:lineRule="auto"/>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软件</w:t>
            </w:r>
          </w:p>
        </w:tc>
        <w:tc>
          <w:tcPr>
            <w:tcW w:w="2851"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72841386">
            <w:pPr>
              <w:numPr>
                <w:ilvl w:val="0"/>
                <w:numId w:val="0"/>
              </w:numPr>
              <w:spacing w:line="240" w:lineRule="auto"/>
              <w:jc w:val="left"/>
              <w:rPr>
                <w:rFonts w:hint="eastAsia" w:ascii="宋体" w:hAnsi="宋体" w:eastAsia="宋体" w:cs="宋体"/>
                <w:color w:val="auto"/>
                <w:sz w:val="21"/>
                <w:szCs w:val="21"/>
                <w:highlight w:val="none"/>
                <w:u w:val="none"/>
                <w:lang w:val="en-US" w:eastAsia="zh-CN"/>
              </w:rPr>
            </w:pP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0B03DE74">
            <w:pPr>
              <w:numPr>
                <w:ilvl w:val="0"/>
                <w:numId w:val="0"/>
              </w:numPr>
              <w:spacing w:line="240" w:lineRule="auto"/>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套</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266E840B">
            <w:pPr>
              <w:numPr>
                <w:ilvl w:val="0"/>
                <w:numId w:val="0"/>
              </w:numPr>
              <w:spacing w:line="240" w:lineRule="auto"/>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r>
      <w:tr w14:paraId="06F0BA09">
        <w:tblPrEx>
          <w:tblCellMar>
            <w:top w:w="0" w:type="dxa"/>
            <w:left w:w="0" w:type="dxa"/>
            <w:bottom w:w="0" w:type="dxa"/>
            <w:right w:w="0" w:type="dxa"/>
          </w:tblCellMar>
        </w:tblPrEx>
        <w:trPr>
          <w:trHeight w:val="356"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3AF28B8A">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4</w:t>
            </w:r>
          </w:p>
        </w:tc>
        <w:tc>
          <w:tcPr>
            <w:tcW w:w="1092"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6E436155">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专家服务</w:t>
            </w:r>
          </w:p>
        </w:tc>
        <w:tc>
          <w:tcPr>
            <w:tcW w:w="2851"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3C8E9BD7">
            <w:pPr>
              <w:numPr>
                <w:ilvl w:val="0"/>
                <w:numId w:val="0"/>
              </w:numP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PID参数整定专家服务 + 培训</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371A1517">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套</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3E4C00B5">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r>
    </w:tbl>
    <w:p w14:paraId="009CA56B">
      <w:pPr>
        <w:pStyle w:val="4"/>
        <w:rPr>
          <w:color w:val="auto"/>
          <w:highlight w:val="none"/>
        </w:rPr>
      </w:pPr>
      <w:bookmarkStart w:id="9" w:name="_Toc7821"/>
      <w:bookmarkStart w:id="10" w:name="_Toc26149"/>
      <w:r>
        <w:rPr>
          <w:rFonts w:hint="eastAsia"/>
          <w:color w:val="auto"/>
          <w:highlight w:val="none"/>
        </w:rPr>
        <w:t>高级报警管理要求</w:t>
      </w:r>
      <w:bookmarkEnd w:id="9"/>
      <w:bookmarkEnd w:id="10"/>
    </w:p>
    <w:p w14:paraId="4015867D">
      <w:pPr>
        <w:pStyle w:val="5"/>
        <w:rPr>
          <w:rFonts w:hint="default"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范围和目标</w:t>
      </w:r>
    </w:p>
    <w:p w14:paraId="48549255">
      <w:pPr>
        <w:rPr>
          <w:rFonts w:hint="eastAsia" w:ascii="Times New Roman" w:hAnsi="Times New Roman" w:cs="Times New Roman"/>
          <w:color w:val="auto"/>
          <w:szCs w:val="24"/>
          <w:highlight w:val="none"/>
          <w:lang w:val="en-US" w:eastAsia="zh-CN"/>
        </w:rPr>
      </w:pPr>
      <w:r>
        <w:rPr>
          <w:rFonts w:hint="eastAsia" w:ascii="Times New Roman" w:hAnsi="Times New Roman" w:cs="Times New Roman"/>
          <w:color w:val="auto"/>
          <w:szCs w:val="24"/>
          <w:highlight w:val="none"/>
        </w:rPr>
        <w:t>设计全厂统一的报警管理系统，对DCS系统的报警进行监控、管理和优化。本项目包含</w:t>
      </w:r>
      <w:r>
        <w:rPr>
          <w:rFonts w:hint="eastAsia" w:ascii="Times New Roman" w:hAnsi="Times New Roman" w:cs="Times New Roman"/>
          <w:color w:val="auto"/>
          <w:szCs w:val="24"/>
          <w:highlight w:val="none"/>
          <w:lang w:val="en-US" w:eastAsia="zh-CN"/>
        </w:rPr>
        <w:t>气化、变换及热回收、低温甲醇洗、液氮洗、氨合成、PSA 制氢、CO 分离及压缩、硫回收制酸、冷冻站、甲醇装置、醋酸、空分装置</w:t>
      </w:r>
      <w:r>
        <w:rPr>
          <w:rFonts w:hint="eastAsia" w:ascii="Times New Roman" w:hAnsi="Times New Roman" w:cs="Times New Roman"/>
          <w:color w:val="auto"/>
          <w:szCs w:val="24"/>
          <w:highlight w:val="none"/>
        </w:rPr>
        <w:t>。</w:t>
      </w:r>
      <w:r>
        <w:rPr>
          <w:rFonts w:hint="eastAsia" w:ascii="Times New Roman" w:hAnsi="Times New Roman" w:cs="Times New Roman"/>
          <w:color w:val="auto"/>
          <w:szCs w:val="24"/>
          <w:highlight w:val="none"/>
          <w:lang w:val="en-US" w:eastAsia="zh-CN"/>
        </w:rPr>
        <w:t>IO点数为25000点。</w:t>
      </w:r>
    </w:p>
    <w:p w14:paraId="6E258D9E">
      <w:pPr>
        <w:rPr>
          <w:rFonts w:hint="eastAsia" w:ascii="Times New Roman" w:hAnsi="Times New Roman" w:cs="Times New Roman"/>
          <w:color w:val="auto"/>
          <w:szCs w:val="24"/>
          <w:highlight w:val="none"/>
          <w:lang w:eastAsia="zh"/>
        </w:rPr>
      </w:pPr>
      <w:r>
        <w:rPr>
          <w:rFonts w:hint="eastAsia" w:ascii="Times New Roman" w:hAnsi="Times New Roman" w:cs="Times New Roman"/>
          <w:color w:val="auto"/>
          <w:szCs w:val="24"/>
          <w:highlight w:val="none"/>
          <w:lang w:eastAsia="zh-CN"/>
        </w:rPr>
        <w:t>高级报警管理系统必须基于EEMUA 191指导文件和ANSI/ISA 18.2标准，对生产过程中产生的报警信息进行分析和整理，自动屏蔽无效报警。可为装置的“安全、稳定、长周期、满负荷” 运行提供保证，使生产更加平稳、操作</w:t>
      </w:r>
      <w:r>
        <w:rPr>
          <w:rFonts w:hint="eastAsia" w:ascii="Times New Roman" w:hAnsi="Times New Roman" w:cs="Times New Roman"/>
          <w:color w:val="auto"/>
          <w:szCs w:val="24"/>
          <w:highlight w:val="none"/>
          <w:lang w:eastAsia="zh"/>
        </w:rPr>
        <w:t>更加</w:t>
      </w:r>
      <w:r>
        <w:rPr>
          <w:rFonts w:hint="eastAsia" w:ascii="Times New Roman" w:hAnsi="Times New Roman" w:cs="Times New Roman"/>
          <w:color w:val="auto"/>
          <w:szCs w:val="24"/>
          <w:highlight w:val="none"/>
          <w:lang w:eastAsia="zh-CN"/>
        </w:rPr>
        <w:t>安全、生产成本进一步下降以及事故进一步减少。建设高级报警管理系统的具体目标为</w:t>
      </w:r>
      <w:r>
        <w:rPr>
          <w:rFonts w:hint="eastAsia" w:ascii="Times New Roman" w:hAnsi="Times New Roman" w:cs="Times New Roman"/>
          <w:color w:val="auto"/>
          <w:szCs w:val="24"/>
          <w:highlight w:val="none"/>
          <w:lang w:eastAsia="zh"/>
        </w:rPr>
        <w:t>：</w:t>
      </w:r>
    </w:p>
    <w:p w14:paraId="3E79639E">
      <w:pPr>
        <w:rPr>
          <w:rFonts w:hint="eastAsia" w:ascii="Times New Roman" w:hAnsi="Times New Roman" w:cs="Times New Roman"/>
          <w:color w:val="auto"/>
          <w:szCs w:val="24"/>
          <w:highlight w:val="none"/>
          <w:lang w:eastAsia="zh-CN"/>
        </w:rPr>
      </w:pPr>
      <w:r>
        <w:rPr>
          <w:rFonts w:hint="eastAsia" w:ascii="Times New Roman" w:hAnsi="Times New Roman" w:cs="Times New Roman"/>
          <w:color w:val="auto"/>
          <w:szCs w:val="24"/>
          <w:highlight w:val="none"/>
          <w:lang w:eastAsia="zh-CN"/>
        </w:rPr>
        <w:t>建立一套符合国际标准规范及</w:t>
      </w:r>
      <w:r>
        <w:rPr>
          <w:rFonts w:hint="eastAsia" w:ascii="Times New Roman" w:hAnsi="Times New Roman" w:cs="Times New Roman"/>
          <w:color w:val="auto"/>
          <w:szCs w:val="24"/>
          <w:highlight w:val="none"/>
          <w:lang w:val="en-US" w:eastAsia="zh-CN"/>
        </w:rPr>
        <w:t>用户</w:t>
      </w:r>
      <w:r>
        <w:rPr>
          <w:rFonts w:hint="eastAsia" w:ascii="Times New Roman" w:hAnsi="Times New Roman" w:cs="Times New Roman"/>
          <w:color w:val="auto"/>
          <w:szCs w:val="24"/>
          <w:highlight w:val="none"/>
          <w:lang w:eastAsia="zh-CN"/>
        </w:rPr>
        <w:t>实情的切实可行的报警管理体系，规范报警处理流程，提升报警管理水平，不断提升工厂安全性；</w:t>
      </w:r>
    </w:p>
    <w:p w14:paraId="0F41525B">
      <w:pPr>
        <w:rPr>
          <w:rFonts w:hint="eastAsia" w:ascii="Times New Roman" w:hAnsi="Times New Roman" w:cs="Times New Roman"/>
          <w:color w:val="auto"/>
          <w:szCs w:val="24"/>
          <w:highlight w:val="none"/>
          <w:lang w:eastAsia="zh-CN"/>
        </w:rPr>
      </w:pPr>
      <w:r>
        <w:rPr>
          <w:rFonts w:hint="eastAsia" w:ascii="Times New Roman" w:hAnsi="Times New Roman" w:cs="Times New Roman"/>
          <w:color w:val="auto"/>
          <w:szCs w:val="24"/>
          <w:highlight w:val="none"/>
          <w:lang w:eastAsia="zh-CN"/>
        </w:rPr>
        <w:t>建立一套报警管理系统及工具，实现报警数据采集及报警数据库建立、报警分级管理、报警监控及展示、报警诊断分析、报警变更管理等全生命周期管理，提升报警管理的信息化、智能化水平；</w:t>
      </w:r>
    </w:p>
    <w:p w14:paraId="738A523C">
      <w:pPr>
        <w:rPr>
          <w:rFonts w:hint="eastAsia" w:ascii="Times New Roman" w:hAnsi="Times New Roman" w:cs="Times New Roman"/>
          <w:color w:val="auto"/>
          <w:szCs w:val="24"/>
          <w:highlight w:val="none"/>
          <w:lang w:eastAsia="zh-CN"/>
        </w:rPr>
      </w:pPr>
      <w:r>
        <w:rPr>
          <w:rFonts w:hint="eastAsia" w:ascii="Times New Roman" w:hAnsi="Times New Roman" w:cs="Times New Roman"/>
          <w:color w:val="auto"/>
          <w:szCs w:val="24"/>
          <w:highlight w:val="none"/>
          <w:lang w:eastAsia="zh-CN"/>
        </w:rPr>
        <w:t>通过开展报警合理化分析，优化报警系统的设置，降低“干扰性”报警数量，提高报警处理效率，实现报警管理持续优化与提高。对照ISA 18.2或EEMUA 191国际标准，整体报警管理水平从报警过载达到或接近可靠。</w:t>
      </w:r>
    </w:p>
    <w:p w14:paraId="1211C827">
      <w:pPr>
        <w:rPr>
          <w:rFonts w:hint="eastAsia" w:ascii="Times New Roman" w:hAnsi="Times New Roman" w:cs="Times New Roman"/>
          <w:color w:val="auto"/>
          <w:szCs w:val="24"/>
          <w:highlight w:val="none"/>
          <w:lang w:eastAsia="zh-CN"/>
        </w:rPr>
      </w:pPr>
      <w:r>
        <w:rPr>
          <w:rFonts w:hint="eastAsia" w:ascii="Times New Roman" w:hAnsi="Times New Roman" w:cs="Times New Roman"/>
          <w:color w:val="auto"/>
          <w:szCs w:val="24"/>
          <w:highlight w:val="none"/>
          <w:lang w:eastAsia="zh-CN"/>
        </w:rPr>
        <w:t>报警级别分布达到或接近国际标准：</w:t>
      </w:r>
      <w:r>
        <w:rPr>
          <w:rFonts w:hint="eastAsia" w:ascii="Times New Roman" w:hAnsi="Times New Roman" w:cs="Times New Roman"/>
          <w:color w:val="auto"/>
          <w:szCs w:val="24"/>
          <w:highlight w:val="none"/>
          <w:lang w:val="en-US" w:eastAsia="zh-CN"/>
        </w:rPr>
        <w:t>紧急</w:t>
      </w:r>
      <w:r>
        <w:rPr>
          <w:rFonts w:hint="eastAsia" w:ascii="Times New Roman" w:hAnsi="Times New Roman" w:cs="Times New Roman"/>
          <w:color w:val="auto"/>
          <w:szCs w:val="24"/>
          <w:highlight w:val="none"/>
          <w:lang w:eastAsia="zh-CN"/>
        </w:rPr>
        <w:t>／重要／一般比例为 5/15/80。</w:t>
      </w:r>
    </w:p>
    <w:p w14:paraId="5A1DC910">
      <w:pPr>
        <w:pStyle w:val="5"/>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系统功能要求</w:t>
      </w:r>
    </w:p>
    <w:p w14:paraId="0BAA8850">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11" w:name="_Toc549"/>
      <w:bookmarkStart w:id="12" w:name="_Toc22552"/>
      <w:r>
        <w:rPr>
          <w:rFonts w:hint="eastAsia" w:ascii="宋体" w:hAnsi="宋体" w:eastAsia="宋体" w:cs="宋体"/>
          <w:b/>
          <w:bCs/>
          <w:color w:val="auto"/>
          <w:highlight w:val="none"/>
          <w:u w:val="none"/>
          <w:lang w:val="en-US" w:eastAsia="zh-CN"/>
        </w:rPr>
        <w:t>主报警数据库</w:t>
      </w:r>
      <w:bookmarkEnd w:id="11"/>
      <w:bookmarkEnd w:id="12"/>
    </w:p>
    <w:p w14:paraId="07213F45">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主报警数据库由工厂模型和位号属性组成。主要保存控制系统位号的名称、类型、描述、量程、单位、报警设定值、报警位号层级归属信息、合理化分析内容等。具备将报警事件解析为报警点位、报警开始、报警确认、报警结束、报警类型、报警装置或设备名称等信息并整合为完整的报警记录功能，形成主报警数据库。主报警数据库中内容可通过Excel表格导入、导出，也可以手动添加和批量修改。</w:t>
      </w:r>
    </w:p>
    <w:p w14:paraId="72372A1B">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13" w:name="_Toc15134"/>
      <w:bookmarkStart w:id="14" w:name="_Toc15747"/>
      <w:r>
        <w:rPr>
          <w:rFonts w:hint="eastAsia" w:ascii="宋体" w:hAnsi="宋体" w:eastAsia="宋体" w:cs="宋体"/>
          <w:b/>
          <w:bCs/>
          <w:color w:val="auto"/>
          <w:highlight w:val="none"/>
          <w:u w:val="none"/>
          <w:lang w:val="en-US" w:eastAsia="zh-CN"/>
        </w:rPr>
        <w:t>报警数据采集</w:t>
      </w:r>
      <w:bookmarkEnd w:id="13"/>
      <w:bookmarkEnd w:id="14"/>
    </w:p>
    <w:p w14:paraId="5B04D9D1">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主报警数据库中的位号报警参数从DCS/SIS/GDS/PLC等系统中通过OPC DA或其它协议采集上来。报警管理系统通过DCS/SIS/GDS/PLC等系统提供的OPC A&amp;E或其它协议等接口对报警事件进行数据采集、整理，实现报警数据统一采集分析和归档功能。报警数据库的报警信息内容满足报警分析</w:t>
      </w:r>
      <w:r>
        <w:rPr>
          <w:rFonts w:hint="eastAsia"/>
          <w:color w:val="auto"/>
          <w:highlight w:val="none"/>
          <w:lang w:val="en-US" w:eastAsia="zh-CN"/>
        </w:rPr>
        <w:t>处理需求，报警数据库的配置满足长时间报警储存</w:t>
      </w:r>
      <w:r>
        <w:rPr>
          <w:rFonts w:hint="eastAsia" w:ascii="宋体" w:hAnsi="宋体" w:eastAsia="宋体" w:cs="宋体"/>
          <w:color w:val="auto"/>
          <w:highlight w:val="none"/>
          <w:lang w:val="en-US" w:eastAsia="zh-CN"/>
        </w:rPr>
        <w:t>要求（不少于3年）。</w:t>
      </w:r>
    </w:p>
    <w:p w14:paraId="22CA5C75">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15" w:name="_Toc14681"/>
      <w:bookmarkStart w:id="16" w:name="_Toc16237"/>
      <w:r>
        <w:rPr>
          <w:rFonts w:hint="eastAsia" w:ascii="宋体" w:hAnsi="宋体" w:eastAsia="宋体" w:cs="宋体"/>
          <w:b/>
          <w:bCs/>
          <w:color w:val="auto"/>
          <w:highlight w:val="none"/>
          <w:u w:val="none"/>
          <w:lang w:val="en-US" w:eastAsia="zh-CN"/>
        </w:rPr>
        <w:t>实时报警查看</w:t>
      </w:r>
      <w:bookmarkEnd w:id="15"/>
      <w:bookmarkEnd w:id="16"/>
    </w:p>
    <w:p w14:paraId="4E13B2C8">
      <w:pPr>
        <w:bidi w:val="0"/>
        <w:rPr>
          <w:rFonts w:hint="eastAsia" w:ascii="宋体" w:hAnsi="宋体" w:eastAsia="宋体" w:cs="宋体"/>
          <w:b w:val="0"/>
          <w:bCs w:val="0"/>
          <w:color w:val="auto"/>
          <w:highlight w:val="none"/>
          <w:lang w:val="en-US" w:eastAsia="zh-CN"/>
        </w:rPr>
      </w:pPr>
      <w:r>
        <w:rPr>
          <w:rFonts w:hint="eastAsia" w:ascii="宋体" w:hAnsi="宋体" w:eastAsia="宋体" w:cs="宋体"/>
          <w:color w:val="auto"/>
          <w:highlight w:val="none"/>
          <w:lang w:val="en-US" w:eastAsia="zh-CN"/>
        </w:rPr>
        <w:t>可按工厂模型查看任意节点DCS/SIS/GDS/PLC等系统的实时报警，可实时动态了解报警的最新情况，并可按报警优</w:t>
      </w:r>
      <w:r>
        <w:rPr>
          <w:rFonts w:hint="default"/>
          <w:color w:val="auto"/>
          <w:highlight w:val="none"/>
          <w:lang w:val="en-US" w:eastAsia="zh-CN"/>
        </w:rPr>
        <w:t>先级、</w:t>
      </w:r>
      <w:r>
        <w:rPr>
          <w:rFonts w:hint="eastAsia"/>
          <w:color w:val="auto"/>
          <w:highlight w:val="none"/>
          <w:lang w:val="en-US" w:eastAsia="zh-CN"/>
        </w:rPr>
        <w:t>装置、时间范围和</w:t>
      </w:r>
      <w:r>
        <w:rPr>
          <w:rFonts w:hint="default"/>
          <w:color w:val="auto"/>
          <w:highlight w:val="none"/>
          <w:lang w:val="en-US" w:eastAsia="zh-CN"/>
        </w:rPr>
        <w:t>确认情况等条件进行过滤</w:t>
      </w:r>
      <w:r>
        <w:rPr>
          <w:rFonts w:hint="eastAsia"/>
          <w:color w:val="auto"/>
          <w:highlight w:val="none"/>
          <w:lang w:val="en-US" w:eastAsia="zh-CN"/>
        </w:rPr>
        <w:t>查看</w:t>
      </w:r>
      <w:r>
        <w:rPr>
          <w:rFonts w:hint="default"/>
          <w:color w:val="auto"/>
          <w:highlight w:val="none"/>
          <w:lang w:val="en-US" w:eastAsia="zh-CN"/>
        </w:rPr>
        <w:t>。</w:t>
      </w:r>
      <w:r>
        <w:rPr>
          <w:rFonts w:hint="eastAsia"/>
          <w:color w:val="auto"/>
          <w:highlight w:val="none"/>
          <w:lang w:val="en-US" w:eastAsia="zh-CN"/>
        </w:rPr>
        <w:t>实时报警的内容包含报警位号名称、报警装置、报警描述、报警产生时间、报警确认时间、报</w:t>
      </w:r>
      <w:r>
        <w:rPr>
          <w:rFonts w:hint="eastAsia"/>
          <w:b w:val="0"/>
          <w:bCs w:val="0"/>
          <w:color w:val="auto"/>
          <w:highlight w:val="none"/>
          <w:lang w:val="en-US" w:eastAsia="zh-CN"/>
        </w:rPr>
        <w:t>警</w:t>
      </w:r>
      <w:r>
        <w:rPr>
          <w:rFonts w:hint="eastAsia" w:ascii="宋体" w:hAnsi="宋体" w:eastAsia="宋体" w:cs="宋体"/>
          <w:b w:val="0"/>
          <w:bCs w:val="0"/>
          <w:color w:val="auto"/>
          <w:highlight w:val="none"/>
          <w:lang w:val="en-US" w:eastAsia="zh-CN"/>
        </w:rPr>
        <w:t>消除时间、报警类型、报警状态等信息。系统可按照优先级定义报警显示的背景色和警报声。</w:t>
      </w:r>
    </w:p>
    <w:p w14:paraId="06560DE6">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17" w:name="_Toc11302"/>
      <w:bookmarkStart w:id="18" w:name="_Toc9245"/>
      <w:r>
        <w:rPr>
          <w:rFonts w:hint="eastAsia" w:ascii="宋体" w:hAnsi="宋体" w:eastAsia="宋体" w:cs="宋体"/>
          <w:b/>
          <w:bCs/>
          <w:color w:val="auto"/>
          <w:highlight w:val="none"/>
          <w:u w:val="none"/>
          <w:lang w:val="en-US" w:eastAsia="zh-CN"/>
        </w:rPr>
        <w:t>历史报警查看分析</w:t>
      </w:r>
      <w:bookmarkEnd w:id="17"/>
      <w:bookmarkEnd w:id="18"/>
    </w:p>
    <w:p w14:paraId="0EB07BBD">
      <w:pPr>
        <w:bidi w:val="0"/>
        <w:rPr>
          <w:rFonts w:hint="eastAsia"/>
          <w:b w:val="0"/>
          <w:bCs w:val="0"/>
          <w:color w:val="auto"/>
          <w:highlight w:val="none"/>
          <w:lang w:val="en-US" w:eastAsia="zh-CN"/>
        </w:rPr>
      </w:pPr>
      <w:r>
        <w:rPr>
          <w:rFonts w:hint="eastAsia" w:ascii="宋体" w:hAnsi="宋体" w:eastAsia="宋体" w:cs="宋体"/>
          <w:b w:val="0"/>
          <w:bCs w:val="0"/>
          <w:color w:val="auto"/>
          <w:highlight w:val="none"/>
          <w:lang w:val="en-US" w:eastAsia="zh-CN"/>
        </w:rPr>
        <w:t>可按工厂模型查看任意节点</w:t>
      </w:r>
      <w:r>
        <w:rPr>
          <w:rFonts w:hint="eastAsia" w:ascii="宋体" w:hAnsi="宋体" w:eastAsia="宋体" w:cs="宋体"/>
          <w:b w:val="0"/>
          <w:bCs w:val="0"/>
          <w:color w:val="auto"/>
          <w:highlight w:val="none"/>
          <w:lang w:eastAsia="zh-CN"/>
        </w:rPr>
        <w:t>DCS/SIS/GDS/PLC等系统</w:t>
      </w:r>
      <w:r>
        <w:rPr>
          <w:rFonts w:hint="eastAsia" w:ascii="宋体" w:hAnsi="宋体" w:eastAsia="宋体" w:cs="宋体"/>
          <w:b w:val="0"/>
          <w:bCs w:val="0"/>
          <w:color w:val="auto"/>
          <w:highlight w:val="none"/>
          <w:lang w:val="en-US" w:eastAsia="zh-CN"/>
        </w:rPr>
        <w:t>的历史报警，并可按报警优先级、装置、时间范围和报警类型等条件进行过</w:t>
      </w:r>
      <w:r>
        <w:rPr>
          <w:rFonts w:hint="default"/>
          <w:b w:val="0"/>
          <w:bCs w:val="0"/>
          <w:color w:val="auto"/>
          <w:highlight w:val="none"/>
          <w:lang w:val="en-US" w:eastAsia="zh-CN"/>
        </w:rPr>
        <w:t>滤</w:t>
      </w:r>
      <w:r>
        <w:rPr>
          <w:rFonts w:hint="eastAsia"/>
          <w:b w:val="0"/>
          <w:bCs w:val="0"/>
          <w:color w:val="auto"/>
          <w:highlight w:val="none"/>
          <w:lang w:val="en-US" w:eastAsia="zh-CN"/>
        </w:rPr>
        <w:t>查询。历史报警的内容包含报警位号名称、报警优先级、报警描述、报警产生时间、报警确认时间、报警消除时间、报警类型、报警原因、处置措施、处置人等信息。</w:t>
      </w:r>
    </w:p>
    <w:p w14:paraId="3DFC3074">
      <w:pPr>
        <w:bidi w:val="0"/>
        <w:rPr>
          <w:rFonts w:hint="default"/>
          <w:b w:val="0"/>
          <w:bCs w:val="0"/>
          <w:color w:val="auto"/>
          <w:highlight w:val="none"/>
          <w:lang w:val="en-US" w:eastAsia="zh-CN"/>
        </w:rPr>
      </w:pPr>
      <w:r>
        <w:rPr>
          <w:rFonts w:hint="eastAsia"/>
          <w:b w:val="0"/>
          <w:bCs w:val="0"/>
          <w:color w:val="auto"/>
          <w:highlight w:val="none"/>
          <w:lang w:val="en-US" w:eastAsia="zh-CN"/>
        </w:rPr>
        <w:t>在统计时间范围内，历史报警按照时间序列进行排列直观展示，助力事故原因分析。系统支持历史报警信息分析以及报警处理流程。报警处理流程是用于记录和跟踪报警事件的详细信息和相应的处置措施。报警处理流程一般包括：报警信息记录、报警原因分析、处置措施制定、处置措施执行、审核和追溯等。</w:t>
      </w:r>
    </w:p>
    <w:p w14:paraId="49BE43CE">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default" w:ascii="宋体" w:hAnsi="宋体" w:eastAsia="宋体" w:cs="宋体"/>
          <w:b/>
          <w:bCs/>
          <w:color w:val="auto"/>
          <w:highlight w:val="none"/>
          <w:u w:val="none"/>
          <w:lang w:val="en-US" w:eastAsia="zh-CN"/>
        </w:rPr>
      </w:pPr>
      <w:bookmarkStart w:id="19" w:name="_Toc29684"/>
      <w:bookmarkStart w:id="20" w:name="_Toc4208"/>
      <w:r>
        <w:rPr>
          <w:rFonts w:hint="eastAsia" w:ascii="宋体" w:hAnsi="宋体" w:eastAsia="宋体" w:cs="宋体"/>
          <w:b/>
          <w:bCs/>
          <w:color w:val="auto"/>
          <w:highlight w:val="none"/>
          <w:u w:val="none"/>
          <w:lang w:val="en-US" w:eastAsia="zh-CN"/>
        </w:rPr>
        <w:t>报警分析评估</w:t>
      </w:r>
      <w:bookmarkEnd w:id="19"/>
      <w:bookmarkEnd w:id="20"/>
    </w:p>
    <w:p w14:paraId="2C9BC27C">
      <w:pPr>
        <w:bidi w:val="0"/>
        <w:rPr>
          <w:rFonts w:hint="eastAsia"/>
          <w:color w:val="auto"/>
          <w:highlight w:val="none"/>
          <w:lang w:val="en-US" w:eastAsia="zh-CN"/>
        </w:rPr>
      </w:pPr>
      <w:r>
        <w:rPr>
          <w:rFonts w:hint="eastAsia"/>
          <w:color w:val="auto"/>
          <w:highlight w:val="none"/>
          <w:lang w:val="en-US" w:eastAsia="zh-CN"/>
        </w:rPr>
        <w:t>系统应依据用户需求提供各类报警分析报表。系统应具备报警数据多维度分析评估功能，多维度统计分析内容包括但不限于如下维度：报警次数/频率分析、报警持续时长分析、报警泛滥分析、报警类型分析、报警优先级分析、设备报警分析、陈旧报警分析、间歇报警分析、瞬闪报警分析、关联报警分析，可按以上维度对报警数据进行统计分析，并生成相应统计分析报表，统计分析报表可展示Top N的分析结果。</w:t>
      </w:r>
    </w:p>
    <w:p w14:paraId="1FC54921">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
        </w:rPr>
        <w:t>报警</w:t>
      </w:r>
      <w:r>
        <w:rPr>
          <w:rFonts w:hint="eastAsia" w:ascii="宋体" w:hAnsi="宋体" w:eastAsia="宋体" w:cs="宋体"/>
          <w:b w:val="0"/>
          <w:bCs w:val="0"/>
          <w:color w:val="auto"/>
          <w:highlight w:val="none"/>
          <w:lang w:val="en-US" w:eastAsia="zh-CN"/>
        </w:rPr>
        <w:t>次数/频率：报表应能显示每个位号在某个时间段的报警发生次数。</w:t>
      </w:r>
    </w:p>
    <w:p w14:paraId="3325B9DC">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报警持续时长：报表应能显示在选定的时间段内每个位号报警从产生到消除的总时长。</w:t>
      </w:r>
    </w:p>
    <w:p w14:paraId="217C3AD1">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报警泛滥：指在一定时间段内产生的报警超过一定的数量，报表应能显示发生报警泛滥的时间区间，和发生报警泛滥时产生的报警次数。</w:t>
      </w:r>
    </w:p>
    <w:p w14:paraId="66774410">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报警类型：报表应能显示在选定</w:t>
      </w:r>
      <w:r>
        <w:rPr>
          <w:rFonts w:hint="eastAsia" w:ascii="宋体" w:hAnsi="宋体" w:eastAsia="宋体" w:cs="宋体"/>
          <w:b w:val="0"/>
          <w:bCs w:val="0"/>
          <w:color w:val="auto"/>
          <w:highlight w:val="none"/>
          <w:lang w:val="en-US" w:eastAsia="zh"/>
        </w:rPr>
        <w:t>时间</w:t>
      </w:r>
      <w:r>
        <w:rPr>
          <w:rFonts w:hint="eastAsia" w:ascii="宋体" w:hAnsi="宋体" w:eastAsia="宋体" w:cs="宋体"/>
          <w:b w:val="0"/>
          <w:bCs w:val="0"/>
          <w:color w:val="auto"/>
          <w:highlight w:val="none"/>
          <w:lang w:val="en-US" w:eastAsia="zh-CN"/>
        </w:rPr>
        <w:t>内，每种报警类型产生的次数。</w:t>
      </w:r>
    </w:p>
    <w:p w14:paraId="545A4B25">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报警优先级：报表应能显示在一个时间段内每个级别中报警产生的数量，按降序排列。</w:t>
      </w:r>
    </w:p>
    <w:p w14:paraId="6E1E81F1">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设备报警：报表应能显示选定时间段内，某个工艺装置、工艺单元（层或组）产生的报警数量及在该装置、单元上一级总报警数量中的占比。</w:t>
      </w:r>
    </w:p>
    <w:p w14:paraId="1AA93395">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陈旧报警：指在一定时间段内，一直处于报警状态，没有消除的报警，报表应能显示是否存在陈旧报警，并以陈旧报警持续的总时长按降序排列。</w:t>
      </w:r>
    </w:p>
    <w:p w14:paraId="59101B97">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间歇报警：指在一定时间段内反复出现的报警，报表应能显示在定义的时间段内间歇性报警发生的总次数。</w:t>
      </w:r>
    </w:p>
    <w:p w14:paraId="5EA5E151">
      <w:pPr>
        <w:numPr>
          <w:ilvl w:val="0"/>
          <w:numId w:val="4"/>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瞬闪报警：指的是产生后自动消除，且消除时间很短的报警，报表应能显示瞬闪报警产生的总次数。</w:t>
      </w:r>
    </w:p>
    <w:p w14:paraId="42CF6923">
      <w:pPr>
        <w:numPr>
          <w:ilvl w:val="0"/>
          <w:numId w:val="4"/>
        </w:numPr>
        <w:tabs>
          <w:tab w:val="left" w:pos="72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关联报警：可统计在一个时间段内，由于某一个报警的发生，频繁引发其他报警发生的情况，且这种引发的概率达到设定的发生百分比。报表应能显示可能存在的关联报警。</w:t>
      </w:r>
    </w:p>
    <w:p w14:paraId="71DC39C9">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21" w:name="_Toc24048"/>
      <w:bookmarkStart w:id="22" w:name="_Toc4906"/>
      <w:r>
        <w:rPr>
          <w:rFonts w:hint="eastAsia" w:ascii="宋体" w:hAnsi="宋体" w:eastAsia="宋体" w:cs="宋体"/>
          <w:b/>
          <w:bCs/>
          <w:color w:val="auto"/>
          <w:highlight w:val="none"/>
          <w:u w:val="none"/>
          <w:lang w:val="en-US" w:eastAsia="zh-CN"/>
        </w:rPr>
        <w:t>报警剔除</w:t>
      </w:r>
      <w:bookmarkEnd w:id="21"/>
      <w:bookmarkEnd w:id="22"/>
    </w:p>
    <w:p w14:paraId="7D11971F">
      <w:pPr>
        <w:bidi w:val="0"/>
        <w:rPr>
          <w:rFonts w:hint="eastAsia"/>
          <w:color w:val="auto"/>
          <w:highlight w:val="none"/>
          <w:lang w:val="en-US" w:eastAsia="zh-CN"/>
        </w:rPr>
      </w:pPr>
      <w:r>
        <w:rPr>
          <w:rFonts w:hint="eastAsia"/>
          <w:color w:val="auto"/>
          <w:highlight w:val="none"/>
          <w:lang w:val="en-US" w:eastAsia="zh-CN"/>
        </w:rPr>
        <w:t>参照报警数据统计分析结果，系统可以将异常的位号报警进行剔除。系统支持按位号、类型和优先级配置报警剔除策略，满足企业对于不参与统计分析或停用报警的筛选，实现考核评比。根据报警设置台账进行异常参数的报警剔除，实现异常参数的报警记录不参与统计；根据报警记录进行不同条件或逐条记录的报警剔除。</w:t>
      </w:r>
    </w:p>
    <w:p w14:paraId="72F8E620">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23" w:name="_Toc12298"/>
      <w:bookmarkStart w:id="24" w:name="_Toc13579"/>
      <w:r>
        <w:rPr>
          <w:rFonts w:hint="eastAsia" w:ascii="宋体" w:hAnsi="宋体" w:eastAsia="宋体" w:cs="宋体"/>
          <w:b/>
          <w:bCs/>
          <w:color w:val="auto"/>
          <w:highlight w:val="none"/>
          <w:u w:val="none"/>
          <w:lang w:val="en-US" w:eastAsia="zh-CN"/>
        </w:rPr>
        <w:t>报警驾驶舱展示</w:t>
      </w:r>
      <w:bookmarkEnd w:id="23"/>
      <w:bookmarkEnd w:id="24"/>
    </w:p>
    <w:p w14:paraId="66DE0433">
      <w:pPr>
        <w:bidi w:val="0"/>
        <w:rPr>
          <w:rFonts w:hint="eastAsia"/>
          <w:color w:val="auto"/>
          <w:highlight w:val="none"/>
          <w:lang w:val="en-US" w:eastAsia="zh-CN"/>
        </w:rPr>
      </w:pPr>
      <w:r>
        <w:rPr>
          <w:rFonts w:hint="eastAsia"/>
          <w:color w:val="auto"/>
          <w:highlight w:val="none"/>
          <w:lang w:val="en-US" w:eastAsia="zh-CN"/>
        </w:rPr>
        <w:t>可综合展示企业的报警健康状态、KPI、报警趋势等。可以选择驾驶舱的模板，选择驾驶舱关联的装置节点和设置驾驶舱展示的报警时间范围；驾驶舱模板类型包含报警全貌（报警总数、报警确认率、平均恢复时间、平均确认时间、瞬闪报警次数、报警泛滥次数等）、报警健康度等级、未恢复的报警数量、未确认的报警数量、历史报警趋势、实时报警频率等。</w:t>
      </w:r>
    </w:p>
    <w:p w14:paraId="12C1AF6B">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r>
        <w:rPr>
          <w:rFonts w:hint="eastAsia" w:ascii="宋体" w:hAnsi="宋体" w:eastAsia="宋体" w:cs="宋体"/>
          <w:b/>
          <w:bCs/>
          <w:color w:val="auto"/>
          <w:highlight w:val="none"/>
          <w:u w:val="none"/>
          <w:lang w:val="en-US" w:eastAsia="zh-CN"/>
        </w:rPr>
        <w:t>报警绩效指标评估</w:t>
      </w:r>
    </w:p>
    <w:p w14:paraId="30249D4B">
      <w:pPr>
        <w:rPr>
          <w:rFonts w:hint="eastAsia" w:ascii="宋体" w:hAnsi="宋体" w:cs="宋体"/>
          <w:color w:val="auto"/>
          <w:highlight w:val="none"/>
          <w:lang w:val="en-US" w:eastAsia="zh-CN"/>
        </w:rPr>
      </w:pPr>
      <w:r>
        <w:rPr>
          <w:rFonts w:hint="eastAsia" w:ascii="宋体" w:hAnsi="宋体" w:cs="宋体"/>
          <w:color w:val="auto"/>
          <w:highlight w:val="none"/>
          <w:lang w:val="en-US" w:eastAsia="zh-CN"/>
        </w:rPr>
        <w:t>系统需按工厂模型展示不同装置节点的报警关键指标，所涉及的关键指标参考ISA18.2建议的报警KPI内容。系统须已嵌入报警管理国家标准 (ISA.18.2、EEMUA 191) 供用户选择与编辑，用户亦可在软件中结合自身实际情况设置调整报警KPI内容。系统支持按照岗位、装置、单元、班组等不同级别分析考核；报警KPI绩效指标包括但不限于：时平均报警数、确认及时率、处置及时率、24小时持续报警数、10分钟峰值报警数等。</w:t>
      </w:r>
    </w:p>
    <w:p w14:paraId="6A035B81">
      <w:pPr>
        <w:pageBreakBefore w:val="0"/>
        <w:widowControl w:val="0"/>
        <w:numPr>
          <w:ilvl w:val="0"/>
          <w:numId w:val="3"/>
        </w:numPr>
        <w:kinsoku/>
        <w:wordWrap/>
        <w:overflowPunct/>
        <w:topLinePunct w:val="0"/>
        <w:autoSpaceDE/>
        <w:autoSpaceDN/>
        <w:bidi w:val="0"/>
        <w:adjustRightInd/>
        <w:snapToGrid/>
        <w:ind w:left="425" w:leftChars="0" w:firstLine="55" w:firstLineChars="0"/>
        <w:textAlignment w:val="auto"/>
        <w:rPr>
          <w:rFonts w:hint="default" w:ascii="宋体" w:hAnsi="宋体" w:eastAsia="宋体" w:cs="宋体"/>
          <w:b/>
          <w:bCs/>
          <w:color w:val="auto"/>
          <w:highlight w:val="none"/>
          <w:u w:val="none"/>
          <w:lang w:val="en-US" w:eastAsia="zh-CN"/>
        </w:rPr>
      </w:pPr>
      <w:bookmarkStart w:id="25" w:name="_Toc27503"/>
      <w:bookmarkStart w:id="26" w:name="_Toc6741"/>
      <w:r>
        <w:rPr>
          <w:rFonts w:hint="eastAsia" w:ascii="宋体" w:hAnsi="宋体" w:eastAsia="宋体" w:cs="宋体"/>
          <w:b/>
          <w:bCs/>
          <w:color w:val="auto"/>
          <w:highlight w:val="none"/>
          <w:u w:val="none"/>
          <w:lang w:val="en-US" w:eastAsia="zh-CN"/>
        </w:rPr>
        <w:t>报警信息及时处理</w:t>
      </w:r>
      <w:bookmarkEnd w:id="25"/>
      <w:bookmarkEnd w:id="26"/>
    </w:p>
    <w:p w14:paraId="281D78CE">
      <w:pPr>
        <w:bidi w:val="0"/>
        <w:rPr>
          <w:rFonts w:hint="eastAsia"/>
          <w:color w:val="auto"/>
          <w:highlight w:val="none"/>
          <w:lang w:val="en-US" w:eastAsia="zh-CN"/>
        </w:rPr>
      </w:pPr>
      <w:r>
        <w:rPr>
          <w:rFonts w:hint="eastAsia"/>
          <w:color w:val="auto"/>
          <w:highlight w:val="none"/>
          <w:lang w:val="en-US" w:eastAsia="zh-CN"/>
        </w:rPr>
        <w:t>系统需支持重要报警事件跟踪管理，如针对一些重要的报警，如果操作工在规定时间内未进行确认，可通过短信、邮件、钉钉、企业微信、招标方移动端等方式实现分级推送功能。系统应具备根据报警参数的危险程度及处置时间配置各层级人员推送的时间功能，如果报警响应不及时或处置不到位导致报警持续超过一定时间时，按照报警类型推送给相应的技术及管理人员；特别重要的报警参数在超过一定时间时，可提级推送给公司分管领导。</w:t>
      </w:r>
    </w:p>
    <w:p w14:paraId="2822B27A">
      <w:pPr>
        <w:bidi w:val="0"/>
        <w:rPr>
          <w:rFonts w:hint="eastAsia"/>
          <w:color w:val="auto"/>
          <w:highlight w:val="none"/>
          <w:lang w:val="en-US" w:eastAsia="zh-CN"/>
        </w:rPr>
      </w:pPr>
      <w:r>
        <w:rPr>
          <w:rFonts w:hint="eastAsia"/>
          <w:color w:val="auto"/>
          <w:highlight w:val="none"/>
          <w:lang w:val="en-US" w:eastAsia="zh-CN"/>
        </w:rPr>
        <w:t>系统支持如下配置包含如下内容：</w:t>
      </w:r>
    </w:p>
    <w:p w14:paraId="1AD65517">
      <w:pPr>
        <w:numPr>
          <w:ilvl w:val="0"/>
          <w:numId w:val="5"/>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用户自行定义的报警或者报警组；</w:t>
      </w:r>
    </w:p>
    <w:p w14:paraId="2190F610">
      <w:pPr>
        <w:numPr>
          <w:ilvl w:val="0"/>
          <w:numId w:val="5"/>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指定报警等级的报警组；</w:t>
      </w:r>
    </w:p>
    <w:p w14:paraId="0CD9F23E">
      <w:pPr>
        <w:numPr>
          <w:ilvl w:val="0"/>
          <w:numId w:val="5"/>
        </w:numPr>
        <w:tabs>
          <w:tab w:val="left" w:pos="720"/>
          <w:tab w:val="left" w:pos="960"/>
        </w:tabs>
        <w:bidi w:val="0"/>
        <w:ind w:left="5" w:leftChars="0" w:firstLine="475" w:firstLineChars="0"/>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长时间没有恢复或者确认的报警，可以设定升级规则，对于长时间未恢复的报警可以自动升级，并推送给更高级别的用户群组。</w:t>
      </w:r>
    </w:p>
    <w:p w14:paraId="530EEE2F">
      <w:pPr>
        <w:pageBreakBefore w:val="0"/>
        <w:widowControl w:val="0"/>
        <w:numPr>
          <w:ilvl w:val="0"/>
          <w:numId w:val="3"/>
        </w:numPr>
        <w:tabs>
          <w:tab w:val="left" w:pos="960"/>
        </w:tabs>
        <w:kinsoku/>
        <w:wordWrap/>
        <w:overflowPunct/>
        <w:topLinePunct w:val="0"/>
        <w:autoSpaceDE/>
        <w:autoSpaceDN/>
        <w:bidi w:val="0"/>
        <w:adjustRightInd/>
        <w:snapToGrid/>
        <w:ind w:left="425" w:leftChars="0" w:firstLine="55" w:firstLineChars="0"/>
        <w:textAlignment w:val="auto"/>
        <w:rPr>
          <w:rFonts w:hint="default" w:ascii="宋体" w:hAnsi="宋体" w:eastAsia="宋体" w:cs="宋体"/>
          <w:b/>
          <w:bCs/>
          <w:color w:val="auto"/>
          <w:highlight w:val="none"/>
          <w:u w:val="none"/>
          <w:lang w:val="en-US" w:eastAsia="zh-CN"/>
        </w:rPr>
      </w:pPr>
      <w:bookmarkStart w:id="27" w:name="_Toc8491"/>
      <w:bookmarkStart w:id="28" w:name="_Toc16043"/>
      <w:r>
        <w:rPr>
          <w:rFonts w:hint="eastAsia" w:ascii="宋体" w:hAnsi="宋体" w:eastAsia="宋体" w:cs="宋体"/>
          <w:b/>
          <w:bCs/>
          <w:color w:val="auto"/>
          <w:highlight w:val="none"/>
          <w:u w:val="none"/>
          <w:lang w:val="en-US" w:eastAsia="zh-CN"/>
        </w:rPr>
        <w:t>报警搁置</w:t>
      </w:r>
      <w:bookmarkEnd w:id="27"/>
      <w:bookmarkEnd w:id="28"/>
    </w:p>
    <w:p w14:paraId="753CC137">
      <w:pPr>
        <w:rPr>
          <w:rFonts w:hint="eastAsia"/>
          <w:color w:val="auto"/>
          <w:highlight w:val="none"/>
          <w:lang w:val="en-US" w:eastAsia="zh-CN"/>
        </w:rPr>
      </w:pPr>
      <w:r>
        <w:rPr>
          <w:rFonts w:hint="eastAsia"/>
          <w:color w:val="auto"/>
          <w:highlight w:val="none"/>
          <w:lang w:val="en-US" w:eastAsia="zh-CN"/>
        </w:rPr>
        <w:t>滋扰报警是流程工厂一个很常见的情况。不幸的是，行业的普遍做法是将产生滋扰报警的点禁用报警，因为大多数DCS系统具备这种能力，使得它非常容易使用和滥用。报警被禁用后，常常被人遗忘，不去修复，而随后的更改和技术人员的维护，往往不知道情况。随着时间的推移，许多报警被禁用了，但没有人知道。</w:t>
      </w:r>
    </w:p>
    <w:p w14:paraId="0A743E56">
      <w:pPr>
        <w:bidi w:val="0"/>
        <w:rPr>
          <w:rFonts w:hint="eastAsia"/>
          <w:color w:val="auto"/>
          <w:highlight w:val="none"/>
          <w:lang w:val="en-US" w:eastAsia="zh-CN"/>
        </w:rPr>
      </w:pPr>
      <w:r>
        <w:rPr>
          <w:rFonts w:hint="eastAsia"/>
          <w:color w:val="auto"/>
          <w:highlight w:val="none"/>
          <w:lang w:val="en-US" w:eastAsia="zh-CN"/>
        </w:rPr>
        <w:t>系统应支持报警搁置功能，允许操作员暂时抑制造成干扰的滋扰报警，操作员能够选择一个或一组报警进行搁置。搁置功能还需提供提示界面，通过明显的颜色标识让操作员知道，哪些是目前正在搁置的报警。这将确保它不会被遗忘，因为在规定的时间后它会自动恢复。禁用报警是操作员没有能力来正确评估异常情况，也不能采取纠正措施的一个重要因素，报警搁置正是要防止这种情况。</w:t>
      </w:r>
    </w:p>
    <w:p w14:paraId="56F88238">
      <w:pPr>
        <w:pageBreakBefore w:val="0"/>
        <w:widowControl w:val="0"/>
        <w:numPr>
          <w:ilvl w:val="0"/>
          <w:numId w:val="3"/>
        </w:numPr>
        <w:tabs>
          <w:tab w:val="left" w:pos="960"/>
        </w:tabs>
        <w:kinsoku/>
        <w:wordWrap/>
        <w:overflowPunct/>
        <w:topLinePunct w:val="0"/>
        <w:autoSpaceDE/>
        <w:autoSpaceDN/>
        <w:bidi w:val="0"/>
        <w:adjustRightInd/>
        <w:snapToGrid/>
        <w:ind w:left="425" w:leftChars="0" w:firstLine="55" w:firstLineChars="0"/>
        <w:textAlignment w:val="auto"/>
        <w:rPr>
          <w:rFonts w:hint="default" w:ascii="宋体" w:hAnsi="宋体" w:eastAsia="宋体" w:cs="宋体"/>
          <w:b/>
          <w:bCs/>
          <w:color w:val="auto"/>
          <w:highlight w:val="none"/>
          <w:u w:val="none"/>
          <w:lang w:val="en-US" w:eastAsia="zh-CN"/>
        </w:rPr>
      </w:pPr>
      <w:bookmarkStart w:id="29" w:name="_Toc14829"/>
      <w:bookmarkStart w:id="30" w:name="_Toc2265"/>
      <w:r>
        <w:rPr>
          <w:rFonts w:hint="eastAsia" w:ascii="宋体" w:hAnsi="宋体" w:eastAsia="宋体" w:cs="宋体"/>
          <w:b/>
          <w:bCs/>
          <w:color w:val="auto"/>
          <w:highlight w:val="none"/>
          <w:u w:val="none"/>
          <w:lang w:val="en-US" w:eastAsia="zh-CN"/>
        </w:rPr>
        <w:t>多工况报警管理</w:t>
      </w:r>
      <w:bookmarkEnd w:id="29"/>
      <w:bookmarkEnd w:id="30"/>
    </w:p>
    <w:p w14:paraId="55BE50E6">
      <w:pPr>
        <w:bidi w:val="0"/>
        <w:rPr>
          <w:rFonts w:hint="eastAsia"/>
          <w:color w:val="auto"/>
          <w:highlight w:val="none"/>
          <w:lang w:val="en-US" w:eastAsia="zh-CN"/>
        </w:rPr>
      </w:pPr>
      <w:r>
        <w:rPr>
          <w:rFonts w:hint="eastAsia" w:ascii="宋体" w:hAnsi="宋体" w:eastAsia="宋体" w:cs="宋体"/>
          <w:color w:val="auto"/>
          <w:highlight w:val="none"/>
          <w:lang w:val="en-US" w:eastAsia="zh-CN"/>
        </w:rPr>
        <w:t>DCS的报警通常只有单一的故障点及其属性的报警设置。然而，大多数工艺流程有几种正常的，但与平常不同的运行状态，如启机、关机、不同规格的产品或原料切换、降负荷运行等，当存在</w:t>
      </w:r>
      <w:r>
        <w:rPr>
          <w:rFonts w:hint="eastAsia"/>
          <w:color w:val="auto"/>
          <w:highlight w:val="none"/>
          <w:lang w:val="en-US" w:eastAsia="zh-CN"/>
        </w:rPr>
        <w:t>某个上述的运行状态时，对单一的固定的报警设置，会产生不一致和不恰当的结果。例如，某工艺运行中可能设备是故意关闭的，会产生各种各样不必要的报警。此外，备用的设备未使用时可能会产生报警。这些情况下的报警，迅速称为滋扰报警（也可以说成是不合时宜的或毫无价值的），容易产生混乱</w:t>
      </w:r>
      <w:r>
        <w:rPr>
          <w:rFonts w:hint="eastAsia"/>
          <w:color w:val="auto"/>
          <w:highlight w:val="none"/>
          <w:lang w:val="en-US" w:eastAsia="zh"/>
        </w:rPr>
        <w:t>，</w:t>
      </w:r>
      <w:r>
        <w:rPr>
          <w:rFonts w:hint="eastAsia"/>
          <w:color w:val="auto"/>
          <w:highlight w:val="none"/>
          <w:lang w:val="en-US" w:eastAsia="zh-CN"/>
        </w:rPr>
        <w:t>正常运行状态不应产生报警。</w:t>
      </w:r>
    </w:p>
    <w:p w14:paraId="388A93AB">
      <w:pPr>
        <w:bidi w:val="0"/>
        <w:rPr>
          <w:rFonts w:hint="default"/>
          <w:color w:val="auto"/>
          <w:highlight w:val="none"/>
          <w:lang w:val="en-US" w:eastAsia="zh-CN"/>
        </w:rPr>
      </w:pPr>
      <w:r>
        <w:rPr>
          <w:rFonts w:hint="eastAsia"/>
          <w:color w:val="auto"/>
          <w:highlight w:val="none"/>
          <w:lang w:val="en-US" w:eastAsia="zh-CN"/>
        </w:rPr>
        <w:t>多工况报警管理应根据工艺单元或工艺设备的各种工况条件进行动态的报警设置和报警抑制。</w:t>
      </w:r>
      <w:r>
        <w:rPr>
          <w:rFonts w:hint="eastAsia"/>
          <w:color w:val="auto"/>
          <w:highlight w:val="none"/>
          <w:lang w:val="en-US" w:eastAsia="zh"/>
        </w:rPr>
        <w:t>针对</w:t>
      </w:r>
      <w:r>
        <w:rPr>
          <w:rFonts w:hint="eastAsia"/>
          <w:color w:val="auto"/>
          <w:highlight w:val="none"/>
          <w:lang w:val="en-US" w:eastAsia="zh-CN"/>
        </w:rPr>
        <w:t>不同的工况，可对同一个位号的同一类报警设置多个报警设定值和报警抑制，根据装置的实际运行工况激活相应的报警设定值或报警抑制设置，减少滋扰报警产生。</w:t>
      </w:r>
    </w:p>
    <w:p w14:paraId="1319A738">
      <w:pPr>
        <w:pageBreakBefore w:val="0"/>
        <w:widowControl w:val="0"/>
        <w:numPr>
          <w:ilvl w:val="0"/>
          <w:numId w:val="3"/>
        </w:numPr>
        <w:tabs>
          <w:tab w:val="left" w:pos="960"/>
        </w:tabs>
        <w:kinsoku/>
        <w:wordWrap/>
        <w:overflowPunct/>
        <w:topLinePunct w:val="0"/>
        <w:autoSpaceDE/>
        <w:autoSpaceDN/>
        <w:bidi w:val="0"/>
        <w:adjustRightInd/>
        <w:snapToGrid/>
        <w:ind w:left="425" w:leftChars="0" w:firstLine="55" w:firstLineChars="0"/>
        <w:textAlignment w:val="auto"/>
        <w:rPr>
          <w:rFonts w:hint="default" w:ascii="宋体" w:hAnsi="宋体" w:eastAsia="宋体" w:cs="宋体"/>
          <w:b/>
          <w:bCs/>
          <w:color w:val="auto"/>
          <w:highlight w:val="none"/>
          <w:u w:val="none"/>
          <w:lang w:val="en-US" w:eastAsia="zh-CN"/>
        </w:rPr>
      </w:pPr>
      <w:bookmarkStart w:id="31" w:name="_Toc29618"/>
      <w:bookmarkStart w:id="32" w:name="_Toc18616"/>
      <w:r>
        <w:rPr>
          <w:rFonts w:hint="eastAsia" w:ascii="宋体" w:hAnsi="宋体" w:eastAsia="宋体" w:cs="宋体"/>
          <w:b/>
          <w:bCs/>
          <w:color w:val="auto"/>
          <w:highlight w:val="none"/>
          <w:u w:val="none"/>
          <w:lang w:val="en-US" w:eastAsia="zh-CN"/>
        </w:rPr>
        <w:t>报警审计</w:t>
      </w:r>
      <w:bookmarkEnd w:id="31"/>
      <w:bookmarkEnd w:id="32"/>
    </w:p>
    <w:p w14:paraId="43D5AA9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设计和配置报警系统需要大量的时间和精力。但是DCS的报警设置非常容易修改，这既是优点也是缺点，这意味着报警的使能/禁用和报警限值可以被很轻易</w:t>
      </w:r>
      <w:r>
        <w:rPr>
          <w:rFonts w:hint="eastAsia" w:ascii="宋体" w:hAnsi="宋体" w:eastAsia="宋体" w:cs="宋体"/>
          <w:color w:val="auto"/>
          <w:highlight w:val="none"/>
          <w:lang w:val="en-US" w:eastAsia="zh"/>
        </w:rPr>
        <w:t>地</w:t>
      </w:r>
      <w:r>
        <w:rPr>
          <w:rFonts w:hint="eastAsia" w:ascii="宋体" w:hAnsi="宋体" w:eastAsia="宋体" w:cs="宋体"/>
          <w:color w:val="auto"/>
          <w:highlight w:val="none"/>
          <w:lang w:val="en-US" w:eastAsia="zh-CN"/>
        </w:rPr>
        <w:t>更改。随着时间的流逝，大量的更改在报警系统中，比如“临时性”的禁用报警，更改报警设置值，变更优先级，这会降低报警系统的性能，并往往认定为事故的主要原因。</w:t>
      </w:r>
    </w:p>
    <w:p w14:paraId="6260DD5D">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为了保证DCS报警设置的完整性，防止由报警设置变化引起的不必要的事故，提高操作员的工作效率和工厂的可靠性，“报警审计”功能定期或根据请求检查DCS报警的设置，报告任何与主报警数据库正确的配置不同的变化，报警系统中任何未授权的更改都会被检测到。根据系统设置，这些未授权的报警设置更改可以在系统中被强制修改。检查的报警设置包括模拟变量报警限的设置、报警优先级设置、报警抑制状态等。</w:t>
      </w:r>
    </w:p>
    <w:p w14:paraId="6C7E0663">
      <w:pPr>
        <w:keepNext w:val="0"/>
        <w:keepLines w:val="0"/>
        <w:pageBreakBefore w:val="0"/>
        <w:widowControl w:val="0"/>
        <w:numPr>
          <w:ilvl w:val="0"/>
          <w:numId w:val="3"/>
        </w:numPr>
        <w:tabs>
          <w:tab w:val="left" w:pos="960"/>
        </w:tabs>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33" w:name="_Toc18990"/>
      <w:bookmarkStart w:id="34" w:name="_Toc15444"/>
      <w:r>
        <w:rPr>
          <w:rFonts w:hint="eastAsia" w:ascii="宋体" w:hAnsi="宋体" w:eastAsia="宋体" w:cs="宋体"/>
          <w:b/>
          <w:bCs/>
          <w:color w:val="auto"/>
          <w:highlight w:val="none"/>
          <w:u w:val="none"/>
          <w:lang w:val="en-US" w:eastAsia="zh-CN"/>
        </w:rPr>
        <w:t>报警变更管理</w:t>
      </w:r>
      <w:bookmarkEnd w:id="33"/>
      <w:bookmarkEnd w:id="34"/>
    </w:p>
    <w:p w14:paraId="684E4CF0">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rPr>
      </w:pPr>
      <w:r>
        <w:rPr>
          <w:rFonts w:hint="eastAsia" w:ascii="宋体" w:hAnsi="宋体" w:eastAsia="宋体" w:cs="宋体"/>
          <w:color w:val="auto"/>
          <w:highlight w:val="none"/>
          <w:lang w:val="en-US" w:eastAsia="zh-CN"/>
        </w:rPr>
        <w:t>建立变更管理流程，实现报警闭环管理：建立报警变更管理审批流程，实现报警变更的流程化管理，形成报警数据感知、分析、优化的闭环管理体系。</w:t>
      </w:r>
    </w:p>
    <w:p w14:paraId="16836AF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DCS系统所有的报警设定值修改、报警屏蔽等需要在系统发起变更管理流程后才可执行操作。此流程作为变更管理的依据，可以作为调度中心管理人员定期审查设定值、报警屏蔽等信息的凭证。具体流程如下：</w:t>
      </w:r>
    </w:p>
    <w:p w14:paraId="02BAF19E">
      <w:pPr>
        <w:keepNext w:val="0"/>
        <w:keepLines w:val="0"/>
        <w:pageBreakBefore w:val="0"/>
        <w:widowControl w:val="0"/>
        <w:numPr>
          <w:ilvl w:val="0"/>
          <w:numId w:val="6"/>
        </w:numPr>
        <w:tabs>
          <w:tab w:val="left" w:pos="720"/>
          <w:tab w:val="left" w:pos="960"/>
        </w:tabs>
        <w:kinsoku/>
        <w:wordWrap/>
        <w:overflowPunct/>
        <w:topLinePunct w:val="0"/>
        <w:autoSpaceDE/>
        <w:autoSpaceDN/>
        <w:bidi w:val="0"/>
        <w:adjustRightInd/>
        <w:snapToGrid/>
        <w:ind w:left="5" w:leftChars="0" w:firstLine="47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操作人员登录其相应授权账号发起审批，将要变更的条目添加到待审批列表，勾选发送需要审批的位号修改，并发送给相应审批人员进行审批。</w:t>
      </w:r>
    </w:p>
    <w:p w14:paraId="6A872F6C">
      <w:pPr>
        <w:keepNext w:val="0"/>
        <w:keepLines w:val="0"/>
        <w:pageBreakBefore w:val="0"/>
        <w:widowControl w:val="0"/>
        <w:numPr>
          <w:ilvl w:val="0"/>
          <w:numId w:val="6"/>
        </w:numPr>
        <w:tabs>
          <w:tab w:val="left" w:pos="720"/>
          <w:tab w:val="left" w:pos="960"/>
        </w:tabs>
        <w:kinsoku/>
        <w:wordWrap/>
        <w:overflowPunct/>
        <w:topLinePunct w:val="0"/>
        <w:autoSpaceDE/>
        <w:autoSpaceDN/>
        <w:bidi w:val="0"/>
        <w:adjustRightInd/>
        <w:snapToGrid/>
        <w:ind w:left="5" w:leftChars="0" w:firstLine="47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系统通过内部工作流系统通知审批人员进行审批，审批完成后发出审批完成的消息。在工作流完成时通知操作人员已经完成审批，请求确认。</w:t>
      </w:r>
    </w:p>
    <w:p w14:paraId="3E393520">
      <w:pPr>
        <w:keepNext w:val="0"/>
        <w:keepLines w:val="0"/>
        <w:pageBreakBefore w:val="0"/>
        <w:widowControl w:val="0"/>
        <w:numPr>
          <w:ilvl w:val="0"/>
          <w:numId w:val="6"/>
        </w:numPr>
        <w:tabs>
          <w:tab w:val="left" w:pos="720"/>
          <w:tab w:val="left" w:pos="960"/>
        </w:tabs>
        <w:kinsoku/>
        <w:wordWrap/>
        <w:overflowPunct/>
        <w:topLinePunct w:val="0"/>
        <w:autoSpaceDE/>
        <w:autoSpaceDN/>
        <w:bidi w:val="0"/>
        <w:adjustRightInd/>
        <w:snapToGrid/>
        <w:ind w:left="5" w:leftChars="0" w:firstLine="47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操作员确认后，结束此审批流程，并生成相应的电子记录表单。</w:t>
      </w:r>
    </w:p>
    <w:p w14:paraId="7F2D71A7">
      <w:pPr>
        <w:keepNext w:val="0"/>
        <w:keepLines w:val="0"/>
        <w:pageBreakBefore w:val="0"/>
        <w:widowControl w:val="0"/>
        <w:numPr>
          <w:ilvl w:val="0"/>
          <w:numId w:val="3"/>
        </w:numPr>
        <w:tabs>
          <w:tab w:val="left" w:pos="960"/>
        </w:tabs>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35" w:name="_Toc26645"/>
      <w:bookmarkStart w:id="36" w:name="_Toc16376"/>
      <w:r>
        <w:rPr>
          <w:rFonts w:hint="eastAsia" w:ascii="宋体" w:hAnsi="宋体" w:eastAsia="宋体" w:cs="宋体"/>
          <w:b/>
          <w:bCs/>
          <w:color w:val="auto"/>
          <w:highlight w:val="none"/>
          <w:u w:val="none"/>
          <w:lang w:val="en-US" w:eastAsia="zh-CN"/>
        </w:rPr>
        <w:t>报警合理化分析</w:t>
      </w:r>
      <w:bookmarkEnd w:id="35"/>
      <w:bookmarkEnd w:id="36"/>
    </w:p>
    <w:p w14:paraId="133A70DB">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eastAsia="zh-CN"/>
        </w:rPr>
      </w:pPr>
      <w:r>
        <w:rPr>
          <w:rFonts w:hint="eastAsia" w:ascii="宋体" w:hAnsi="宋体" w:eastAsia="宋体" w:cs="宋体"/>
          <w:color w:val="auto"/>
          <w:highlight w:val="none"/>
        </w:rPr>
        <w:t>分析和审查</w:t>
      </w:r>
      <w:r>
        <w:rPr>
          <w:rFonts w:hint="eastAsia" w:ascii="宋体" w:hAnsi="宋体" w:eastAsia="宋体" w:cs="宋体"/>
          <w:color w:val="auto"/>
          <w:highlight w:val="none"/>
          <w:lang w:val="en-US" w:eastAsia="zh-CN"/>
        </w:rPr>
        <w:t>系统中</w:t>
      </w:r>
      <w:r>
        <w:rPr>
          <w:rFonts w:hint="eastAsia" w:ascii="宋体" w:hAnsi="宋体" w:eastAsia="宋体" w:cs="宋体"/>
          <w:color w:val="auto"/>
          <w:highlight w:val="none"/>
        </w:rPr>
        <w:t>每一个报警点的意义和设计的合理性，确保报警与报警系统管理理念一致。</w:t>
      </w:r>
      <w:r>
        <w:rPr>
          <w:rFonts w:hint="eastAsia" w:ascii="宋体" w:hAnsi="宋体" w:eastAsia="宋体" w:cs="宋体"/>
          <w:color w:val="auto"/>
          <w:highlight w:val="none"/>
          <w:lang w:val="en-US" w:eastAsia="zh-CN"/>
        </w:rPr>
        <w:t>报警的合理化分析内容包含但不限于如下：</w:t>
      </w:r>
      <w:r>
        <w:rPr>
          <w:rFonts w:hint="eastAsia" w:ascii="宋体" w:hAnsi="宋体" w:eastAsia="宋体" w:cs="宋体"/>
          <w:color w:val="auto"/>
          <w:highlight w:val="none"/>
        </w:rPr>
        <w:t>报警合理性</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报警原因</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操作员响应动作</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检验方法</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报警优先级</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报警最大响应时间</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报警不响应的潜在后果</w:t>
      </w:r>
      <w:r>
        <w:rPr>
          <w:rFonts w:hint="eastAsia" w:ascii="宋体" w:hAnsi="宋体" w:eastAsia="宋体" w:cs="宋体"/>
          <w:color w:val="auto"/>
          <w:highlight w:val="none"/>
          <w:lang w:eastAsia="zh-CN"/>
        </w:rPr>
        <w:t>、</w:t>
      </w:r>
      <w:r>
        <w:rPr>
          <w:rFonts w:hint="eastAsia" w:ascii="宋体" w:hAnsi="宋体" w:eastAsia="宋体" w:cs="宋体"/>
          <w:color w:val="auto"/>
          <w:highlight w:val="none"/>
        </w:rPr>
        <w:t>影响</w:t>
      </w:r>
      <w:r>
        <w:rPr>
          <w:rFonts w:hint="eastAsia" w:ascii="宋体" w:hAnsi="宋体" w:eastAsia="宋体" w:cs="宋体"/>
          <w:color w:val="auto"/>
          <w:highlight w:val="none"/>
          <w:lang w:val="en-US" w:eastAsia="zh-CN"/>
        </w:rPr>
        <w:t>和</w:t>
      </w:r>
      <w:r>
        <w:rPr>
          <w:rFonts w:hint="eastAsia" w:ascii="宋体" w:hAnsi="宋体" w:eastAsia="宋体" w:cs="宋体"/>
          <w:color w:val="auto"/>
          <w:highlight w:val="none"/>
        </w:rPr>
        <w:t>后果严重等级</w:t>
      </w:r>
      <w:r>
        <w:rPr>
          <w:rFonts w:hint="eastAsia" w:ascii="宋体" w:hAnsi="宋体" w:eastAsia="宋体" w:cs="宋体"/>
          <w:color w:val="auto"/>
          <w:highlight w:val="none"/>
          <w:lang w:eastAsia="zh-CN"/>
        </w:rPr>
        <w:t>。</w:t>
      </w:r>
    </w:p>
    <w:p w14:paraId="53C34D4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rPr>
      </w:pPr>
      <w:r>
        <w:rPr>
          <w:rFonts w:hint="eastAsia" w:ascii="宋体" w:hAnsi="宋体" w:eastAsia="宋体" w:cs="宋体"/>
          <w:color w:val="auto"/>
          <w:highlight w:val="none"/>
          <w:lang w:val="en-US"/>
        </w:rPr>
        <w:t>报警优先级应依据后果严重性和时间紧迫性确定，如果操作人员对报警未做出有效处理</w:t>
      </w:r>
      <w:r>
        <w:rPr>
          <w:rFonts w:hint="eastAsia" w:ascii="宋体" w:hAnsi="宋体" w:eastAsia="宋体" w:cs="宋体"/>
          <w:color w:val="auto"/>
          <w:highlight w:val="none"/>
          <w:lang w:val="en-US" w:eastAsia="zh-CN"/>
        </w:rPr>
        <w:t>，对</w:t>
      </w:r>
      <w:r>
        <w:rPr>
          <w:rFonts w:hint="eastAsia" w:ascii="宋体" w:hAnsi="宋体" w:eastAsia="宋体" w:cs="宋体"/>
          <w:color w:val="auto"/>
          <w:highlight w:val="none"/>
          <w:lang w:val="en-US"/>
        </w:rPr>
        <w:t>潜在危害产生后果</w:t>
      </w:r>
      <w:r>
        <w:rPr>
          <w:rFonts w:hint="eastAsia" w:ascii="宋体" w:hAnsi="宋体" w:eastAsia="宋体" w:cs="宋体"/>
          <w:color w:val="auto"/>
          <w:highlight w:val="none"/>
          <w:lang w:val="en-US" w:eastAsia="zh-CN"/>
        </w:rPr>
        <w:t>（</w:t>
      </w:r>
      <w:r>
        <w:rPr>
          <w:rFonts w:hint="eastAsia" w:ascii="宋体" w:hAnsi="宋体" w:eastAsia="宋体" w:cs="宋体"/>
          <w:color w:val="auto"/>
          <w:highlight w:val="none"/>
          <w:lang w:val="en-US"/>
        </w:rPr>
        <w:t>可分为：重大、大、中或小等</w:t>
      </w:r>
      <w:r>
        <w:rPr>
          <w:rFonts w:hint="eastAsia" w:ascii="宋体" w:hAnsi="宋体" w:eastAsia="宋体" w:cs="宋体"/>
          <w:color w:val="auto"/>
          <w:highlight w:val="none"/>
          <w:lang w:val="en-US" w:eastAsia="zh-CN"/>
        </w:rPr>
        <w:t>几种</w:t>
      </w:r>
      <w:r>
        <w:rPr>
          <w:rFonts w:hint="eastAsia" w:ascii="宋体" w:hAnsi="宋体" w:eastAsia="宋体" w:cs="宋体"/>
          <w:color w:val="auto"/>
          <w:highlight w:val="none"/>
          <w:lang w:val="en-US"/>
        </w:rPr>
        <w:t>情形</w:t>
      </w:r>
      <w:r>
        <w:rPr>
          <w:rFonts w:hint="eastAsia" w:ascii="宋体" w:hAnsi="宋体" w:eastAsia="宋体" w:cs="宋体"/>
          <w:color w:val="auto"/>
          <w:highlight w:val="none"/>
          <w:lang w:val="en-US" w:eastAsia="zh-CN"/>
        </w:rPr>
        <w:t>）。</w:t>
      </w:r>
      <w:r>
        <w:rPr>
          <w:rFonts w:hint="eastAsia" w:ascii="宋体" w:hAnsi="宋体" w:eastAsia="宋体" w:cs="宋体"/>
          <w:color w:val="auto"/>
          <w:highlight w:val="none"/>
          <w:lang w:val="en-US"/>
        </w:rPr>
        <w:t>按照国际标准，设置报警优先级宜按以下比率进行分配</w:t>
      </w:r>
      <w:r>
        <w:rPr>
          <w:rFonts w:hint="eastAsia" w:ascii="宋体" w:hAnsi="宋体" w:eastAsia="宋体" w:cs="宋体"/>
          <w:color w:val="auto"/>
          <w:highlight w:val="none"/>
          <w:lang w:val="en-US" w:eastAsia="zh-CN"/>
        </w:rPr>
        <w:t>（</w:t>
      </w:r>
      <w:r>
        <w:rPr>
          <w:rFonts w:hint="eastAsia" w:ascii="宋体" w:hAnsi="宋体" w:eastAsia="宋体" w:cs="宋体"/>
          <w:color w:val="auto"/>
          <w:highlight w:val="none"/>
          <w:lang w:val="en-US"/>
        </w:rPr>
        <w:t>紧急报警：报警总数的5%</w:t>
      </w:r>
      <w:r>
        <w:rPr>
          <w:rFonts w:hint="eastAsia" w:ascii="宋体" w:hAnsi="宋体" w:eastAsia="宋体" w:cs="宋体"/>
          <w:color w:val="auto"/>
          <w:highlight w:val="none"/>
          <w:lang w:val="en-US" w:eastAsia="zh-CN"/>
        </w:rPr>
        <w:t>；</w:t>
      </w:r>
      <w:r>
        <w:rPr>
          <w:rFonts w:hint="eastAsia" w:ascii="宋体" w:hAnsi="宋体" w:eastAsia="宋体" w:cs="宋体"/>
          <w:color w:val="auto"/>
          <w:highlight w:val="none"/>
          <w:lang w:val="en-US"/>
        </w:rPr>
        <w:t>重要报警：报警总数的15%</w:t>
      </w:r>
      <w:r>
        <w:rPr>
          <w:rFonts w:hint="eastAsia" w:ascii="宋体" w:hAnsi="宋体" w:eastAsia="宋体" w:cs="宋体"/>
          <w:color w:val="auto"/>
          <w:highlight w:val="none"/>
          <w:lang w:val="en-US" w:eastAsia="zh-CN"/>
        </w:rPr>
        <w:t>；</w:t>
      </w:r>
      <w:r>
        <w:rPr>
          <w:rFonts w:hint="eastAsia" w:ascii="宋体" w:hAnsi="宋体" w:eastAsia="宋体" w:cs="宋体"/>
          <w:color w:val="auto"/>
          <w:highlight w:val="none"/>
          <w:lang w:val="en-US"/>
        </w:rPr>
        <w:t>一般报警：报警总数的80%</w:t>
      </w:r>
      <w:r>
        <w:rPr>
          <w:rFonts w:hint="eastAsia" w:ascii="宋体" w:hAnsi="宋体" w:eastAsia="宋体" w:cs="宋体"/>
          <w:color w:val="auto"/>
          <w:highlight w:val="none"/>
          <w:lang w:val="en-US" w:eastAsia="zh-CN"/>
        </w:rPr>
        <w:t>）。</w:t>
      </w:r>
      <w:r>
        <w:rPr>
          <w:rFonts w:hint="eastAsia" w:ascii="宋体" w:hAnsi="宋体" w:eastAsia="宋体" w:cs="宋体"/>
          <w:color w:val="auto"/>
          <w:highlight w:val="none"/>
          <w:lang w:val="en-US"/>
        </w:rPr>
        <w:t>发生报警时，不管属于什么优先级，相关人员均应对所有报警做出响应。</w:t>
      </w:r>
    </w:p>
    <w:p w14:paraId="04CD900A">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系统需</w:t>
      </w:r>
      <w:r>
        <w:rPr>
          <w:rFonts w:hint="eastAsia" w:ascii="宋体" w:hAnsi="宋体" w:eastAsia="宋体" w:cs="宋体"/>
          <w:color w:val="auto"/>
          <w:highlight w:val="none"/>
        </w:rPr>
        <w:t>支持</w:t>
      </w:r>
      <w:r>
        <w:rPr>
          <w:rFonts w:hint="eastAsia" w:ascii="宋体" w:hAnsi="宋体" w:eastAsia="宋体" w:cs="宋体"/>
          <w:color w:val="auto"/>
          <w:highlight w:val="none"/>
          <w:lang w:val="en-US" w:eastAsia="zh-CN"/>
        </w:rPr>
        <w:t>E</w:t>
      </w:r>
      <w:r>
        <w:rPr>
          <w:rFonts w:hint="eastAsia" w:ascii="宋体" w:hAnsi="宋体" w:eastAsia="宋体" w:cs="宋体"/>
          <w:color w:val="auto"/>
          <w:highlight w:val="none"/>
        </w:rPr>
        <w:t>xcel表格导入导出</w:t>
      </w:r>
      <w:r>
        <w:rPr>
          <w:rFonts w:hint="eastAsia" w:ascii="宋体" w:hAnsi="宋体" w:eastAsia="宋体" w:cs="宋体"/>
          <w:color w:val="auto"/>
          <w:highlight w:val="none"/>
          <w:lang w:val="en-US" w:eastAsia="zh-CN"/>
        </w:rPr>
        <w:t>合理化分析记录，提高工作效率；系统</w:t>
      </w:r>
      <w:r>
        <w:rPr>
          <w:rFonts w:hint="eastAsia" w:ascii="宋体" w:hAnsi="宋体" w:eastAsia="宋体" w:cs="宋体"/>
          <w:color w:val="auto"/>
          <w:highlight w:val="none"/>
        </w:rPr>
        <w:t>支持在实时报警和历史报警界面查看合理化分析的内容。</w:t>
      </w:r>
    </w:p>
    <w:p w14:paraId="43362150">
      <w:pPr>
        <w:keepNext w:val="0"/>
        <w:keepLines w:val="0"/>
        <w:pageBreakBefore w:val="0"/>
        <w:widowControl w:val="0"/>
        <w:numPr>
          <w:ilvl w:val="0"/>
          <w:numId w:val="3"/>
        </w:numPr>
        <w:tabs>
          <w:tab w:val="left" w:pos="960"/>
        </w:tabs>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37" w:name="_Toc7761"/>
      <w:bookmarkStart w:id="38" w:name="_Toc14076"/>
      <w:r>
        <w:rPr>
          <w:rFonts w:hint="eastAsia" w:ascii="宋体" w:hAnsi="宋体" w:eastAsia="宋体" w:cs="宋体"/>
          <w:b/>
          <w:bCs/>
          <w:color w:val="auto"/>
          <w:highlight w:val="none"/>
          <w:u w:val="none"/>
          <w:lang w:val="en-US" w:eastAsia="zh-CN"/>
        </w:rPr>
        <w:t>操作数据统计分析</w:t>
      </w:r>
      <w:bookmarkEnd w:id="37"/>
      <w:bookmarkEnd w:id="38"/>
    </w:p>
    <w:p w14:paraId="1D1C0AD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操作数据统计分析包含位号操作统计和PID统计。</w:t>
      </w:r>
    </w:p>
    <w:p w14:paraId="0482D5AF">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位号操作统计报表，应包括如下统计功能：</w:t>
      </w:r>
    </w:p>
    <w:p w14:paraId="15E11DBF">
      <w:pPr>
        <w:keepNext w:val="0"/>
        <w:keepLines w:val="0"/>
        <w:pageBreakBefore w:val="0"/>
        <w:widowControl w:val="0"/>
        <w:numPr>
          <w:ilvl w:val="0"/>
          <w:numId w:val="7"/>
        </w:numPr>
        <w:tabs>
          <w:tab w:val="left" w:pos="960"/>
        </w:tabs>
        <w:kinsoku/>
        <w:wordWrap/>
        <w:overflowPunct/>
        <w:topLinePunct w:val="0"/>
        <w:autoSpaceDE/>
        <w:autoSpaceDN/>
        <w:bidi w:val="0"/>
        <w:adjustRightInd/>
        <w:snapToGrid/>
        <w:ind w:left="5" w:leftChars="0" w:firstLine="71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位号操作频率统计：应能统计某段时间内，与仪表位号、控制回路相关的操作频率。</w:t>
      </w:r>
    </w:p>
    <w:p w14:paraId="27E0B1BF">
      <w:pPr>
        <w:keepNext w:val="0"/>
        <w:keepLines w:val="0"/>
        <w:pageBreakBefore w:val="0"/>
        <w:widowControl w:val="0"/>
        <w:numPr>
          <w:ilvl w:val="0"/>
          <w:numId w:val="7"/>
        </w:numPr>
        <w:tabs>
          <w:tab w:val="left" w:pos="960"/>
        </w:tabs>
        <w:kinsoku/>
        <w:wordWrap/>
        <w:overflowPunct/>
        <w:topLinePunct w:val="0"/>
        <w:autoSpaceDE/>
        <w:autoSpaceDN/>
        <w:bidi w:val="0"/>
        <w:adjustRightInd/>
        <w:snapToGrid/>
        <w:ind w:left="5" w:leftChars="0" w:firstLine="71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报警确认率的统计：报表应能显示操作人员对报警的确认次数和对所有报警的确认比率。</w:t>
      </w:r>
    </w:p>
    <w:p w14:paraId="2BCC8E56">
      <w:pPr>
        <w:keepNext w:val="0"/>
        <w:keepLines w:val="0"/>
        <w:pageBreakBefore w:val="0"/>
        <w:widowControl w:val="0"/>
        <w:numPr>
          <w:ilvl w:val="0"/>
          <w:numId w:val="7"/>
        </w:numPr>
        <w:tabs>
          <w:tab w:val="left" w:pos="960"/>
        </w:tabs>
        <w:kinsoku/>
        <w:wordWrap/>
        <w:overflowPunct/>
        <w:topLinePunct w:val="0"/>
        <w:autoSpaceDE/>
        <w:autoSpaceDN/>
        <w:bidi w:val="0"/>
        <w:adjustRightInd/>
        <w:snapToGrid/>
        <w:ind w:left="5" w:leftChars="0" w:firstLine="71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PID统计报表，应包括如下统计内容：</w:t>
      </w:r>
    </w:p>
    <w:p w14:paraId="424DB733">
      <w:pPr>
        <w:keepNext w:val="0"/>
        <w:keepLines w:val="0"/>
        <w:pageBreakBefore w:val="0"/>
        <w:widowControl w:val="0"/>
        <w:numPr>
          <w:ilvl w:val="0"/>
          <w:numId w:val="7"/>
        </w:numPr>
        <w:tabs>
          <w:tab w:val="left" w:pos="960"/>
        </w:tabs>
        <w:kinsoku/>
        <w:wordWrap/>
        <w:overflowPunct/>
        <w:topLinePunct w:val="0"/>
        <w:autoSpaceDE/>
        <w:autoSpaceDN/>
        <w:bidi w:val="0"/>
        <w:adjustRightInd/>
        <w:snapToGrid/>
        <w:ind w:left="5" w:leftChars="0" w:firstLine="71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操作模式变化报表：报表应能显示在报表期间内PID模块的操作模式变化次数和各模式下的持续时间百分比。</w:t>
      </w:r>
    </w:p>
    <w:p w14:paraId="0DE5CE0E">
      <w:pPr>
        <w:keepNext w:val="0"/>
        <w:keepLines w:val="0"/>
        <w:pageBreakBefore w:val="0"/>
        <w:widowControl w:val="0"/>
        <w:numPr>
          <w:ilvl w:val="0"/>
          <w:numId w:val="7"/>
        </w:numPr>
        <w:tabs>
          <w:tab w:val="left" w:pos="960"/>
        </w:tabs>
        <w:kinsoku/>
        <w:wordWrap/>
        <w:overflowPunct/>
        <w:topLinePunct w:val="0"/>
        <w:autoSpaceDE/>
        <w:autoSpaceDN/>
        <w:bidi w:val="0"/>
        <w:adjustRightInd/>
        <w:snapToGrid/>
        <w:ind w:left="5" w:leftChars="0" w:firstLine="71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设定值变化报表：报表应能显示PID模块在自动模式下，报表期间设定值变化的情况，包括：次数、最大值、最小值及最终值。</w:t>
      </w:r>
    </w:p>
    <w:p w14:paraId="1F489AFE">
      <w:pPr>
        <w:keepNext w:val="0"/>
        <w:keepLines w:val="0"/>
        <w:pageBreakBefore w:val="0"/>
        <w:widowControl w:val="0"/>
        <w:numPr>
          <w:ilvl w:val="0"/>
          <w:numId w:val="7"/>
        </w:numPr>
        <w:tabs>
          <w:tab w:val="left" w:pos="960"/>
        </w:tabs>
        <w:kinsoku/>
        <w:wordWrap/>
        <w:overflowPunct/>
        <w:topLinePunct w:val="0"/>
        <w:autoSpaceDE/>
        <w:autoSpaceDN/>
        <w:bidi w:val="0"/>
        <w:adjustRightInd/>
        <w:snapToGrid/>
        <w:ind w:left="5" w:leftChars="0" w:firstLine="71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输出值变化报表：报表应能显示PID模块在手动模式下，在报表期间输出值变化的情况，包括：次数、最大值、最小值及最终值。</w:t>
      </w:r>
    </w:p>
    <w:p w14:paraId="5EF31907">
      <w:pPr>
        <w:keepNext w:val="0"/>
        <w:keepLines w:val="0"/>
        <w:pageBreakBefore w:val="0"/>
        <w:widowControl w:val="0"/>
        <w:numPr>
          <w:ilvl w:val="0"/>
          <w:numId w:val="7"/>
        </w:numPr>
        <w:tabs>
          <w:tab w:val="left" w:pos="960"/>
        </w:tabs>
        <w:kinsoku/>
        <w:wordWrap/>
        <w:overflowPunct/>
        <w:topLinePunct w:val="0"/>
        <w:autoSpaceDE/>
        <w:autoSpaceDN/>
        <w:bidi w:val="0"/>
        <w:adjustRightInd/>
        <w:snapToGrid/>
        <w:ind w:left="5" w:leftChars="0" w:firstLine="715" w:firstLineChars="0"/>
        <w:textAlignment w:val="auto"/>
        <w:rPr>
          <w:rFonts w:hint="eastAsia" w:ascii="宋体" w:hAnsi="宋体" w:eastAsia="宋体" w:cs="宋体"/>
          <w:b w:val="0"/>
          <w:bCs w:val="0"/>
          <w:color w:val="auto"/>
          <w:highlight w:val="none"/>
          <w:lang w:val="en-US" w:eastAsia="zh-CN"/>
        </w:rPr>
      </w:pPr>
      <w:r>
        <w:rPr>
          <w:rFonts w:hint="eastAsia" w:ascii="宋体" w:hAnsi="宋体" w:eastAsia="宋体" w:cs="宋体"/>
          <w:b w:val="0"/>
          <w:bCs w:val="0"/>
          <w:color w:val="auto"/>
          <w:highlight w:val="none"/>
          <w:lang w:val="en-US" w:eastAsia="zh-CN"/>
        </w:rPr>
        <w:t>PID整定报表：报表应能显示报表期内PID模块P、I、D参数修改情况。</w:t>
      </w:r>
    </w:p>
    <w:p w14:paraId="47FAD1F7">
      <w:pPr>
        <w:keepNext w:val="0"/>
        <w:keepLines w:val="0"/>
        <w:pageBreakBefore w:val="0"/>
        <w:widowControl w:val="0"/>
        <w:numPr>
          <w:ilvl w:val="0"/>
          <w:numId w:val="3"/>
        </w:numPr>
        <w:tabs>
          <w:tab w:val="left" w:pos="960"/>
        </w:tabs>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39" w:name="_Toc27231"/>
      <w:bookmarkStart w:id="40" w:name="_Toc31083"/>
      <w:r>
        <w:rPr>
          <w:rFonts w:hint="eastAsia" w:ascii="宋体" w:hAnsi="宋体" w:eastAsia="宋体" w:cs="宋体"/>
          <w:b/>
          <w:bCs/>
          <w:color w:val="auto"/>
          <w:highlight w:val="none"/>
          <w:u w:val="none"/>
          <w:lang w:val="en-US" w:eastAsia="zh-CN"/>
        </w:rPr>
        <w:t>报警与操作综合分析</w:t>
      </w:r>
      <w:bookmarkEnd w:id="39"/>
      <w:bookmarkEnd w:id="40"/>
    </w:p>
    <w:p w14:paraId="45334D8C">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报警与操作综合统计报表：在实际生产过程中，报警与操作具有很强的关联性，单一的对报警进行统计和分析可能存在片面性；系统应支持对重点关注的报警位号和操作位号进行组合配置成过滤条件，</w:t>
      </w:r>
      <w:r>
        <w:rPr>
          <w:rFonts w:hint="eastAsia" w:ascii="宋体" w:hAnsi="宋体" w:eastAsia="宋体" w:cs="宋体"/>
          <w:color w:val="auto"/>
          <w:highlight w:val="none"/>
        </w:rPr>
        <w:t>将各类</w:t>
      </w:r>
      <w:r>
        <w:rPr>
          <w:rFonts w:hint="eastAsia" w:ascii="宋体" w:hAnsi="宋体" w:eastAsia="宋体" w:cs="宋体"/>
          <w:color w:val="auto"/>
          <w:highlight w:val="none"/>
          <w:lang w:val="en-US" w:eastAsia="zh-CN"/>
        </w:rPr>
        <w:t>报警和操作</w:t>
      </w:r>
      <w:r>
        <w:rPr>
          <w:rFonts w:hint="eastAsia" w:ascii="宋体" w:hAnsi="宋体" w:eastAsia="宋体" w:cs="宋体"/>
          <w:color w:val="auto"/>
          <w:highlight w:val="none"/>
        </w:rPr>
        <w:t>记录按照前后时序进行直观展示，助力事故原因分析。帮助提高分析根本原因的效率，以便快速定位事故原因并及时决策处理方式，减少人身或财产的损失</w:t>
      </w:r>
      <w:r>
        <w:rPr>
          <w:rFonts w:hint="eastAsia" w:ascii="宋体" w:hAnsi="宋体" w:eastAsia="宋体" w:cs="宋体"/>
          <w:color w:val="auto"/>
          <w:highlight w:val="none"/>
          <w:lang w:eastAsia="zh-CN"/>
        </w:rPr>
        <w:t>。</w:t>
      </w:r>
      <w:r>
        <w:rPr>
          <w:rFonts w:hint="eastAsia" w:ascii="宋体" w:hAnsi="宋体" w:eastAsia="宋体" w:cs="宋体"/>
          <w:color w:val="auto"/>
          <w:highlight w:val="none"/>
          <w:lang w:val="en-US" w:eastAsia="zh-CN"/>
        </w:rPr>
        <w:t>统计TopN位号的报警及操作关联情况，如统计报表展示报警多但操作少，则可能是由于操作员负荷过重而未能及时处理报警；如统计报表展示报警少但操作多，则可能是由于操作员对工艺知识掌握不足，做了很多无用操作。</w:t>
      </w:r>
    </w:p>
    <w:p w14:paraId="28DA0ADC">
      <w:pPr>
        <w:keepNext w:val="0"/>
        <w:keepLines w:val="0"/>
        <w:pageBreakBefore w:val="0"/>
        <w:widowControl w:val="0"/>
        <w:numPr>
          <w:ilvl w:val="0"/>
          <w:numId w:val="3"/>
        </w:numPr>
        <w:tabs>
          <w:tab w:val="left" w:pos="960"/>
        </w:tabs>
        <w:kinsoku/>
        <w:wordWrap/>
        <w:overflowPunct/>
        <w:topLinePunct w:val="0"/>
        <w:autoSpaceDE/>
        <w:autoSpaceDN/>
        <w:bidi w:val="0"/>
        <w:adjustRightInd/>
        <w:snapToGrid/>
        <w:ind w:left="425" w:leftChars="0" w:firstLine="55" w:firstLineChars="0"/>
        <w:textAlignment w:val="auto"/>
        <w:rPr>
          <w:rFonts w:hint="eastAsia" w:ascii="宋体" w:hAnsi="宋体" w:eastAsia="宋体" w:cs="宋体"/>
          <w:b/>
          <w:bCs/>
          <w:color w:val="auto"/>
          <w:highlight w:val="none"/>
          <w:u w:val="none"/>
          <w:lang w:val="en-US" w:eastAsia="zh-CN"/>
        </w:rPr>
      </w:pPr>
      <w:bookmarkStart w:id="41" w:name="_Toc25122"/>
      <w:bookmarkStart w:id="42" w:name="_Toc12254"/>
      <w:r>
        <w:rPr>
          <w:rFonts w:hint="eastAsia" w:ascii="宋体" w:hAnsi="宋体" w:eastAsia="宋体" w:cs="宋体"/>
          <w:b/>
          <w:bCs/>
          <w:color w:val="auto"/>
          <w:highlight w:val="none"/>
          <w:u w:val="none"/>
          <w:lang w:val="en-US" w:eastAsia="zh-CN"/>
        </w:rPr>
        <w:t>自定义报警</w:t>
      </w:r>
      <w:bookmarkEnd w:id="41"/>
      <w:bookmarkEnd w:id="42"/>
    </w:p>
    <w:p w14:paraId="69532170">
      <w:pPr>
        <w:keepNext w:val="0"/>
        <w:keepLines w:val="0"/>
        <w:pageBreakBefore w:val="0"/>
        <w:widowControl w:val="0"/>
        <w:kinsoku/>
        <w:wordWrap/>
        <w:overflowPunct/>
        <w:topLinePunct w:val="0"/>
        <w:autoSpaceDE/>
        <w:autoSpaceDN/>
        <w:bidi w:val="0"/>
        <w:adjustRightInd/>
        <w:snapToGrid/>
        <w:textAlignment w:val="auto"/>
        <w:rPr>
          <w:rFonts w:hint="default" w:eastAsia="宋体"/>
          <w:color w:val="auto"/>
          <w:highlight w:val="none"/>
          <w:lang w:val="en-US" w:eastAsia="zh-CN"/>
        </w:rPr>
      </w:pPr>
      <w:r>
        <w:rPr>
          <w:rFonts w:hint="eastAsia" w:ascii="宋体" w:hAnsi="宋体" w:eastAsia="宋体" w:cs="宋体"/>
          <w:color w:val="auto"/>
          <w:highlight w:val="none"/>
          <w:lang w:val="en-US" w:eastAsia="zh-CN"/>
        </w:rPr>
        <w:t>软件支持自定义配置报警功能，解决控制系统只有实时值、没有报警值的报警统一管理问题，如FAS等系统。根据工艺和安全管理规范，针对每个报警点进行检查设置相应的报警条件，通过业务端二次报警组态，将报警点推送给后台报警计算引擎，报警计算引擎根据相应业务规则实现将报警消息实时推送给相关用户的过程，通过它用户能够全方位实时</w:t>
      </w:r>
      <w:r>
        <w:rPr>
          <w:rFonts w:hint="eastAsia" w:ascii="宋体" w:hAnsi="宋体" w:eastAsia="宋体" w:cs="宋体"/>
          <w:color w:val="auto"/>
          <w:highlight w:val="none"/>
          <w:lang w:val="en-US" w:eastAsia="zh"/>
        </w:rPr>
        <w:t>地</w:t>
      </w:r>
      <w:r>
        <w:rPr>
          <w:rFonts w:hint="eastAsia" w:ascii="宋体" w:hAnsi="宋体" w:eastAsia="宋体" w:cs="宋体"/>
          <w:color w:val="auto"/>
          <w:highlight w:val="none"/>
          <w:lang w:val="en-US" w:eastAsia="zh-CN"/>
        </w:rPr>
        <w:t>掌握企业的报</w:t>
      </w:r>
      <w:r>
        <w:rPr>
          <w:rFonts w:hint="eastAsia" w:eastAsia="宋体"/>
          <w:color w:val="auto"/>
          <w:highlight w:val="none"/>
          <w:lang w:val="en-US" w:eastAsia="zh-CN"/>
        </w:rPr>
        <w:t>警状态，有效提升报警管理水平，防范安全事故的发生及预防和控制能力。</w:t>
      </w:r>
    </w:p>
    <w:p w14:paraId="6E043C8F">
      <w:pPr>
        <w:pStyle w:val="5"/>
        <w:pageBreakBefore w:val="0"/>
        <w:widowControl w:val="0"/>
        <w:kinsoku/>
        <w:wordWrap/>
        <w:overflowPunct/>
        <w:topLinePunct w:val="0"/>
        <w:autoSpaceDE/>
        <w:autoSpaceDN/>
        <w:bidi w:val="0"/>
        <w:adjustRightInd/>
        <w:snapToGrid/>
        <w:textAlignment w:val="auto"/>
        <w:rPr>
          <w:rFonts w:hint="default" w:ascii="宋体" w:hAnsi="宋体" w:eastAsia="宋体" w:cs="宋体"/>
          <w:color w:val="auto"/>
          <w:highlight w:val="none"/>
          <w:lang w:val="en-US" w:eastAsia="zh-CN"/>
        </w:rPr>
      </w:pPr>
      <w:r>
        <w:rPr>
          <w:rFonts w:hint="eastAsia" w:cs="宋体"/>
          <w:color w:val="auto"/>
          <w:highlight w:val="none"/>
          <w:lang w:val="en-US" w:eastAsia="zh-CN"/>
        </w:rPr>
        <w:t>系统集成要求</w:t>
      </w:r>
    </w:p>
    <w:p w14:paraId="389FADB0">
      <w:pPr>
        <w:keepNext w:val="0"/>
        <w:keepLines w:val="0"/>
        <w:widowControl w:val="0"/>
        <w:suppressLineNumbers w:val="0"/>
        <w:jc w:val="left"/>
        <w:rPr>
          <w:rFonts w:hint="default" w:ascii="宋体" w:hAnsi="宋体" w:eastAsia="宋体" w:cs="宋体"/>
          <w:color w:val="auto"/>
          <w:highlight w:val="none"/>
          <w:lang w:val="en-US"/>
        </w:rPr>
      </w:pPr>
      <w:r>
        <w:rPr>
          <w:rFonts w:hint="eastAsia" w:ascii="宋体" w:hAnsi="宋体" w:eastAsia="宋体" w:cs="宋体"/>
          <w:b w:val="0"/>
          <w:bCs w:val="0"/>
          <w:i w:val="0"/>
          <w:iCs w:val="0"/>
          <w:caps w:val="0"/>
          <w:color w:val="auto"/>
          <w:spacing w:val="0"/>
          <w:kern w:val="2"/>
          <w:sz w:val="24"/>
          <w:szCs w:val="22"/>
          <w:highlight w:val="none"/>
          <w:shd w:val="clear"/>
          <w:lang w:val="en-US" w:eastAsia="zh-CN" w:bidi="ar"/>
        </w:rPr>
        <w:t>与底层控制系统深度集成</w:t>
      </w:r>
      <w:r>
        <w:rPr>
          <w:rFonts w:hint="eastAsia" w:ascii="宋体" w:hAnsi="宋体" w:eastAsia="宋体" w:cs="宋体"/>
          <w:i w:val="0"/>
          <w:iCs w:val="0"/>
          <w:caps w:val="0"/>
          <w:color w:val="auto"/>
          <w:spacing w:val="0"/>
          <w:kern w:val="2"/>
          <w:sz w:val="24"/>
          <w:szCs w:val="22"/>
          <w:highlight w:val="none"/>
          <w:shd w:val="clear"/>
          <w:lang w:val="en-US" w:eastAsia="zh-CN" w:bidi="ar"/>
        </w:rPr>
        <w:t>，实现全厂报警的实时、标准化采集与集中监控。同时</w:t>
      </w:r>
      <w:r>
        <w:rPr>
          <w:rFonts w:hint="eastAsia" w:ascii="宋体" w:hAnsi="宋体" w:eastAsia="宋体" w:cs="宋体"/>
          <w:b w:val="0"/>
          <w:bCs w:val="0"/>
          <w:i w:val="0"/>
          <w:iCs w:val="0"/>
          <w:caps w:val="0"/>
          <w:color w:val="auto"/>
          <w:spacing w:val="0"/>
          <w:kern w:val="2"/>
          <w:sz w:val="24"/>
          <w:szCs w:val="22"/>
          <w:highlight w:val="none"/>
          <w:shd w:val="clear"/>
          <w:lang w:val="en-US" w:eastAsia="zh-CN" w:bidi="ar"/>
        </w:rPr>
        <w:t>与MES、设备管理等系统对接</w:t>
      </w:r>
      <w:r>
        <w:rPr>
          <w:rFonts w:hint="eastAsia" w:ascii="宋体" w:hAnsi="宋体" w:eastAsia="宋体" w:cs="宋体"/>
          <w:i w:val="0"/>
          <w:iCs w:val="0"/>
          <w:caps w:val="0"/>
          <w:color w:val="auto"/>
          <w:spacing w:val="0"/>
          <w:kern w:val="2"/>
          <w:sz w:val="24"/>
          <w:szCs w:val="22"/>
          <w:highlight w:val="none"/>
          <w:shd w:val="clear"/>
          <w:lang w:val="en-US" w:eastAsia="zh-CN" w:bidi="ar"/>
        </w:rPr>
        <w:t>，将报警信息与工艺参数、操作记录、维修工单联动，</w:t>
      </w:r>
      <w:bookmarkStart w:id="43" w:name="_GoBack"/>
      <w:bookmarkEnd w:id="43"/>
      <w:r>
        <w:rPr>
          <w:rFonts w:hint="eastAsia" w:ascii="宋体" w:hAnsi="宋体" w:eastAsia="宋体" w:cs="宋体"/>
          <w:i w:val="0"/>
          <w:iCs w:val="0"/>
          <w:caps w:val="0"/>
          <w:color w:val="auto"/>
          <w:spacing w:val="0"/>
          <w:kern w:val="2"/>
          <w:sz w:val="24"/>
          <w:szCs w:val="22"/>
          <w:highlight w:val="none"/>
          <w:shd w:val="clear"/>
          <w:lang w:val="en-US" w:eastAsia="zh-CN" w:bidi="ar"/>
        </w:rPr>
        <w:t>支持根本原因分析、绩效评估及闭环管理。</w:t>
      </w:r>
    </w:p>
    <w:p w14:paraId="5498D510">
      <w:pPr>
        <w:pStyle w:val="5"/>
        <w:pageBreakBefore w:val="0"/>
        <w:widowControl w:val="0"/>
        <w:kinsoku/>
        <w:wordWrap/>
        <w:overflowPunct/>
        <w:topLinePunct w:val="0"/>
        <w:autoSpaceDE/>
        <w:autoSpaceDN/>
        <w:bidi w:val="0"/>
        <w:adjustRightInd/>
        <w:snapToGrid/>
        <w:textAlignment w:val="auto"/>
        <w:rPr>
          <w:rFonts w:hint="default"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t>硬件要求（系统要求及配置清单）</w:t>
      </w:r>
    </w:p>
    <w:tbl>
      <w:tblPr>
        <w:tblStyle w:val="6"/>
        <w:tblW w:w="9071" w:type="dxa"/>
        <w:jc w:val="center"/>
        <w:tblLayout w:type="autofit"/>
        <w:tblCellMar>
          <w:top w:w="0" w:type="dxa"/>
          <w:left w:w="0" w:type="dxa"/>
          <w:bottom w:w="0" w:type="dxa"/>
          <w:right w:w="0" w:type="dxa"/>
        </w:tblCellMar>
      </w:tblPr>
      <w:tblGrid>
        <w:gridCol w:w="571"/>
        <w:gridCol w:w="2279"/>
        <w:gridCol w:w="4877"/>
        <w:gridCol w:w="672"/>
        <w:gridCol w:w="672"/>
      </w:tblGrid>
      <w:tr w14:paraId="757D1A94">
        <w:tblPrEx>
          <w:tblCellMar>
            <w:top w:w="0" w:type="dxa"/>
            <w:left w:w="0" w:type="dxa"/>
            <w:bottom w:w="0" w:type="dxa"/>
            <w:right w:w="0" w:type="dxa"/>
          </w:tblCellMar>
        </w:tblPrEx>
        <w:trPr>
          <w:trHeight w:val="330"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24BCCFAA">
            <w:pPr>
              <w:numPr>
                <w:ilvl w:val="0"/>
                <w:numId w:val="0"/>
              </w:numP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序号</w:t>
            </w:r>
          </w:p>
        </w:tc>
        <w:tc>
          <w:tcPr>
            <w:tcW w:w="1256"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49FCC3B3">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名称</w:t>
            </w:r>
          </w:p>
        </w:tc>
        <w:tc>
          <w:tcPr>
            <w:tcW w:w="2687"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25D47657">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规格型号</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63F8D558">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单位</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5A23BE05">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数量</w:t>
            </w:r>
          </w:p>
        </w:tc>
      </w:tr>
      <w:tr w14:paraId="3DF074C6">
        <w:tblPrEx>
          <w:tblCellMar>
            <w:top w:w="0" w:type="dxa"/>
            <w:left w:w="0" w:type="dxa"/>
            <w:bottom w:w="0" w:type="dxa"/>
            <w:right w:w="0" w:type="dxa"/>
          </w:tblCellMar>
        </w:tblPrEx>
        <w:trPr>
          <w:trHeight w:val="260"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121B5616">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c>
          <w:tcPr>
            <w:tcW w:w="1256"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70702E9D">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服务器</w:t>
            </w:r>
          </w:p>
        </w:tc>
        <w:tc>
          <w:tcPr>
            <w:tcW w:w="4877" w:type="dxa"/>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1B31D48E">
            <w:pPr>
              <w:numPr>
                <w:ilvl w:val="0"/>
                <w:numId w:val="0"/>
              </w:numPr>
              <w:spacing w:line="240" w:lineRule="auto"/>
              <w:jc w:val="left"/>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不低于以下配置：</w:t>
            </w:r>
          </w:p>
          <w:p w14:paraId="4C18E349">
            <w:pPr>
              <w:numPr>
                <w:ilvl w:val="0"/>
                <w:numId w:val="0"/>
              </w:numPr>
              <w:spacing w:line="240" w:lineRule="auto"/>
              <w:ind w:left="0" w:leftChars="0" w:firstLine="0" w:firstLineChars="0"/>
              <w:jc w:val="left"/>
              <w:rPr>
                <w:rFonts w:hint="eastAsia" w:ascii="宋体" w:hAnsi="宋体" w:eastAsia="宋体" w:cs="宋体"/>
                <w:color w:val="auto"/>
                <w:sz w:val="21"/>
                <w:szCs w:val="21"/>
                <w:highlight w:val="none"/>
                <w:u w:val="none"/>
                <w:lang w:val="en-US" w:eastAsia="zh-CN"/>
              </w:rPr>
            </w:pPr>
            <w:r>
              <w:rPr>
                <w:rFonts w:hint="default" w:ascii="宋体" w:hAnsi="宋体" w:eastAsia="宋体" w:cs="宋体"/>
                <w:color w:val="auto"/>
                <w:sz w:val="21"/>
                <w:szCs w:val="21"/>
                <w:highlight w:val="none"/>
                <w:u w:val="none"/>
                <w:lang w:val="en-US" w:eastAsia="zh-CN"/>
              </w:rPr>
              <w:t>CPU：海光（x86）</w:t>
            </w:r>
            <w:r>
              <w:rPr>
                <w:rFonts w:hint="default" w:ascii="宋体" w:hAnsi="宋体" w:eastAsia="宋体" w:cs="宋体"/>
                <w:color w:val="auto"/>
                <w:sz w:val="21"/>
                <w:szCs w:val="21"/>
                <w:highlight w:val="none"/>
                <w:u w:val="none"/>
                <w:lang w:val="en-US" w:eastAsia="zh-CN"/>
              </w:rPr>
              <w:br w:type="textWrapping"/>
            </w:r>
            <w:r>
              <w:rPr>
                <w:rFonts w:hint="default" w:ascii="宋体" w:hAnsi="宋体" w:eastAsia="宋体" w:cs="宋体"/>
                <w:color w:val="auto"/>
                <w:sz w:val="21"/>
                <w:szCs w:val="21"/>
                <w:highlight w:val="none"/>
                <w:u w:val="none"/>
                <w:lang w:val="en-US" w:eastAsia="zh-CN"/>
              </w:rPr>
              <w:t xml:space="preserve">主频：32 核，2.5GHz 及以上 </w:t>
            </w:r>
            <w:r>
              <w:rPr>
                <w:rFonts w:hint="default" w:ascii="宋体" w:hAnsi="宋体" w:eastAsia="宋体" w:cs="宋体"/>
                <w:color w:val="auto"/>
                <w:sz w:val="21"/>
                <w:szCs w:val="21"/>
                <w:highlight w:val="none"/>
                <w:u w:val="none"/>
                <w:lang w:val="en-US" w:eastAsia="zh-CN"/>
              </w:rPr>
              <w:br w:type="textWrapping"/>
            </w:r>
            <w:r>
              <w:rPr>
                <w:rFonts w:hint="default" w:ascii="宋体" w:hAnsi="宋体" w:eastAsia="宋体" w:cs="宋体"/>
                <w:color w:val="auto"/>
                <w:sz w:val="21"/>
                <w:szCs w:val="21"/>
                <w:highlight w:val="none"/>
                <w:u w:val="none"/>
                <w:lang w:val="en-US" w:eastAsia="zh-CN"/>
              </w:rPr>
              <w:t>内存：64G</w:t>
            </w:r>
            <w:r>
              <w:rPr>
                <w:rFonts w:hint="default" w:ascii="宋体" w:hAnsi="宋体" w:eastAsia="宋体" w:cs="宋体"/>
                <w:color w:val="auto"/>
                <w:sz w:val="21"/>
                <w:szCs w:val="21"/>
                <w:highlight w:val="none"/>
                <w:u w:val="none"/>
                <w:lang w:val="en-US" w:eastAsia="zh-CN"/>
              </w:rPr>
              <w:br w:type="textWrapping"/>
            </w:r>
            <w:r>
              <w:rPr>
                <w:rFonts w:hint="default" w:ascii="宋体" w:hAnsi="宋体" w:eastAsia="宋体" w:cs="宋体"/>
                <w:color w:val="auto"/>
                <w:sz w:val="21"/>
                <w:szCs w:val="21"/>
                <w:highlight w:val="none"/>
                <w:u w:val="none"/>
                <w:lang w:val="en-US" w:eastAsia="zh-CN"/>
              </w:rPr>
              <w:t>硬盘容量：4T(SSD)</w:t>
            </w:r>
            <w:r>
              <w:rPr>
                <w:rFonts w:hint="default" w:ascii="宋体" w:hAnsi="宋体" w:eastAsia="宋体" w:cs="宋体"/>
                <w:color w:val="auto"/>
                <w:sz w:val="21"/>
                <w:szCs w:val="21"/>
                <w:highlight w:val="none"/>
                <w:u w:val="none"/>
                <w:lang w:val="en-US" w:eastAsia="zh-CN"/>
              </w:rPr>
              <w:br w:type="textWrapping"/>
            </w:r>
            <w:r>
              <w:rPr>
                <w:rFonts w:hint="default" w:ascii="宋体" w:hAnsi="宋体" w:eastAsia="宋体" w:cs="宋体"/>
                <w:color w:val="auto"/>
                <w:sz w:val="21"/>
                <w:szCs w:val="21"/>
                <w:highlight w:val="none"/>
                <w:u w:val="none"/>
                <w:lang w:val="en-US" w:eastAsia="zh-CN"/>
              </w:rPr>
              <w:t>显卡：2G</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55531A64">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台</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2EC1C7C1">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r>
      <w:tr w14:paraId="5E493157">
        <w:tblPrEx>
          <w:tblCellMar>
            <w:top w:w="0" w:type="dxa"/>
            <w:left w:w="0" w:type="dxa"/>
            <w:bottom w:w="0" w:type="dxa"/>
            <w:right w:w="0" w:type="dxa"/>
          </w:tblCellMar>
        </w:tblPrEx>
        <w:trPr>
          <w:trHeight w:val="260"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13901745">
            <w:pPr>
              <w:numPr>
                <w:ilvl w:val="0"/>
                <w:numId w:val="0"/>
              </w:numPr>
              <w:ind w:left="0" w:leftChars="0" w:firstLine="0" w:firstLineChars="0"/>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2</w:t>
            </w:r>
          </w:p>
        </w:tc>
        <w:tc>
          <w:tcPr>
            <w:tcW w:w="1256"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25CF6E1A">
            <w:pPr>
              <w:numPr>
                <w:ilvl w:val="0"/>
                <w:numId w:val="0"/>
              </w:numPr>
              <w:ind w:left="0" w:leftChars="0" w:firstLine="0" w:firstLineChars="0"/>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操作系统</w:t>
            </w:r>
          </w:p>
        </w:tc>
        <w:tc>
          <w:tcPr>
            <w:tcW w:w="4877" w:type="dxa"/>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0DBFBE50">
            <w:pPr>
              <w:numPr>
                <w:ilvl w:val="0"/>
                <w:numId w:val="0"/>
              </w:numPr>
              <w:spacing w:line="240" w:lineRule="auto"/>
              <w:ind w:left="0" w:leftChars="0" w:firstLine="0" w:firstLineChars="0"/>
              <w:jc w:val="left"/>
              <w:rPr>
                <w:rFonts w:hint="eastAsia" w:ascii="宋体" w:hAnsi="宋体" w:eastAsia="宋体" w:cs="宋体"/>
                <w:color w:val="auto"/>
                <w:sz w:val="21"/>
                <w:szCs w:val="21"/>
                <w:highlight w:val="none"/>
                <w:u w:val="none"/>
                <w:lang w:val="en-US" w:eastAsia="zh-CN"/>
              </w:rPr>
            </w:pPr>
            <w:r>
              <w:rPr>
                <w:rFonts w:hint="eastAsia" w:ascii="宋体" w:hAnsi="宋体" w:cs="宋体"/>
                <w:color w:val="auto"/>
                <w:sz w:val="21"/>
                <w:szCs w:val="21"/>
                <w:highlight w:val="none"/>
                <w:u w:val="none"/>
                <w:lang w:val="en-US" w:eastAsia="zh-CN"/>
              </w:rPr>
              <w:t>国产</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65EB1CA3">
            <w:pPr>
              <w:numPr>
                <w:ilvl w:val="0"/>
                <w:numId w:val="0"/>
              </w:numPr>
              <w:ind w:left="0" w:leftChars="0" w:firstLine="0" w:firstLineChars="0"/>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套</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0996EB59">
            <w:pPr>
              <w:numPr>
                <w:ilvl w:val="0"/>
                <w:numId w:val="0"/>
              </w:numPr>
              <w:ind w:left="0" w:leftChars="0" w:firstLine="0" w:firstLineChars="0"/>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r>
      <w:tr w14:paraId="0E53B730">
        <w:tblPrEx>
          <w:tblCellMar>
            <w:top w:w="0" w:type="dxa"/>
            <w:left w:w="0" w:type="dxa"/>
            <w:bottom w:w="0" w:type="dxa"/>
            <w:right w:w="0" w:type="dxa"/>
          </w:tblCellMar>
        </w:tblPrEx>
        <w:trPr>
          <w:trHeight w:val="356"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6F140971">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cs="宋体"/>
                <w:color w:val="auto"/>
                <w:sz w:val="21"/>
                <w:szCs w:val="21"/>
                <w:highlight w:val="none"/>
                <w:u w:val="none"/>
                <w:lang w:val="en-US" w:eastAsia="zh-CN"/>
              </w:rPr>
              <w:t>3</w:t>
            </w:r>
          </w:p>
        </w:tc>
        <w:tc>
          <w:tcPr>
            <w:tcW w:w="1256"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65A931DD">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高级报警管理软件</w:t>
            </w:r>
          </w:p>
        </w:tc>
        <w:tc>
          <w:tcPr>
            <w:tcW w:w="2687"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3F9F1557">
            <w:pPr>
              <w:numPr>
                <w:ilvl w:val="0"/>
                <w:numId w:val="0"/>
              </w:numP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高级报警管理软件</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64F78EB9">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套</w:t>
            </w:r>
          </w:p>
        </w:tc>
        <w:tc>
          <w:tcPr>
            <w:tcW w:w="370"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512A1363">
            <w:pPr>
              <w:numPr>
                <w:ilvl w:val="0"/>
                <w:numId w:val="0"/>
              </w:numPr>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r>
      <w:tr w14:paraId="6F1A6876">
        <w:tblPrEx>
          <w:tblCellMar>
            <w:top w:w="0" w:type="dxa"/>
            <w:left w:w="0" w:type="dxa"/>
            <w:bottom w:w="0" w:type="dxa"/>
            <w:right w:w="0" w:type="dxa"/>
          </w:tblCellMar>
        </w:tblPrEx>
        <w:trPr>
          <w:trHeight w:val="356" w:hRule="atLeast"/>
          <w:jc w:val="center"/>
        </w:trPr>
        <w:tc>
          <w:tcPr>
            <w:tcW w:w="315" w:type="pct"/>
            <w:tcBorders>
              <w:top w:val="single" w:color="auto" w:sz="4" w:space="0"/>
              <w:left w:val="single" w:color="auto" w:sz="4" w:space="0"/>
              <w:bottom w:val="single" w:color="auto" w:sz="4" w:space="0"/>
              <w:right w:val="single" w:color="auto" w:sz="4" w:space="0"/>
            </w:tcBorders>
            <w:tcMar>
              <w:top w:w="10" w:type="dxa"/>
              <w:left w:w="10" w:type="dxa"/>
              <w:bottom w:w="0" w:type="dxa"/>
              <w:right w:w="10" w:type="dxa"/>
            </w:tcMar>
            <w:vAlign w:val="center"/>
          </w:tcPr>
          <w:p w14:paraId="04D69F1D">
            <w:pPr>
              <w:numPr>
                <w:ilvl w:val="0"/>
                <w:numId w:val="0"/>
              </w:numPr>
              <w:jc w:val="center"/>
              <w:rPr>
                <w:rFonts w:hint="default" w:ascii="宋体" w:hAnsi="宋体" w:eastAsia="宋体" w:cs="宋体"/>
                <w:color w:val="auto"/>
                <w:sz w:val="21"/>
                <w:szCs w:val="21"/>
                <w:highlight w:val="none"/>
                <w:u w:val="none"/>
                <w:lang w:val="en-US" w:eastAsia="zh-CN"/>
              </w:rPr>
            </w:pPr>
            <w:r>
              <w:rPr>
                <w:rFonts w:hint="eastAsia" w:ascii="宋体" w:hAnsi="宋体" w:cs="宋体"/>
                <w:color w:val="auto"/>
                <w:sz w:val="21"/>
                <w:szCs w:val="21"/>
                <w:highlight w:val="none"/>
                <w:u w:val="none"/>
                <w:lang w:val="en-US" w:eastAsia="zh-CN"/>
              </w:rPr>
              <w:t>4</w:t>
            </w:r>
          </w:p>
        </w:tc>
        <w:tc>
          <w:tcPr>
            <w:tcW w:w="1256"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67108C10">
            <w:pPr>
              <w:numPr>
                <w:ilvl w:val="0"/>
                <w:numId w:val="0"/>
              </w:numPr>
              <w:spacing w:line="240" w:lineRule="auto"/>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工程服务</w:t>
            </w:r>
          </w:p>
        </w:tc>
        <w:tc>
          <w:tcPr>
            <w:tcW w:w="2687" w:type="pct"/>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22ABFEC8">
            <w:pPr>
              <w:numPr>
                <w:ilvl w:val="0"/>
                <w:numId w:val="0"/>
              </w:numPr>
              <w:spacing w:line="240" w:lineRule="auto"/>
              <w:jc w:val="left"/>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报警</w:t>
            </w:r>
            <w:r>
              <w:rPr>
                <w:rFonts w:hint="eastAsia" w:ascii="宋体" w:hAnsi="宋体" w:cs="宋体"/>
                <w:color w:val="auto"/>
                <w:sz w:val="21"/>
                <w:szCs w:val="21"/>
                <w:highlight w:val="none"/>
                <w:u w:val="none"/>
                <w:lang w:val="en-US" w:eastAsia="zh-CN"/>
              </w:rPr>
              <w:t>管理</w:t>
            </w:r>
            <w:r>
              <w:rPr>
                <w:rFonts w:hint="eastAsia" w:ascii="宋体" w:hAnsi="宋体" w:eastAsia="宋体" w:cs="宋体"/>
                <w:color w:val="auto"/>
                <w:sz w:val="21"/>
                <w:szCs w:val="21"/>
                <w:highlight w:val="none"/>
                <w:u w:val="none"/>
                <w:lang w:val="en-US" w:eastAsia="zh-CN"/>
              </w:rPr>
              <w:t>系统实施服务（安装、部署、多工况报警、合理化分析等）</w:t>
            </w:r>
          </w:p>
        </w:tc>
        <w:tc>
          <w:tcPr>
            <w:tcW w:w="672" w:type="dxa"/>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08319EF2">
            <w:pPr>
              <w:numPr>
                <w:ilvl w:val="0"/>
                <w:numId w:val="0"/>
              </w:numPr>
              <w:spacing w:line="240" w:lineRule="auto"/>
              <w:ind w:left="0" w:leftChars="0" w:firstLine="0" w:firstLineChars="0"/>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套</w:t>
            </w:r>
          </w:p>
        </w:tc>
        <w:tc>
          <w:tcPr>
            <w:tcW w:w="672" w:type="dxa"/>
            <w:tcBorders>
              <w:top w:val="single" w:color="auto" w:sz="4" w:space="0"/>
              <w:left w:val="nil"/>
              <w:bottom w:val="single" w:color="auto" w:sz="4" w:space="0"/>
              <w:right w:val="single" w:color="auto" w:sz="4" w:space="0"/>
            </w:tcBorders>
            <w:tcMar>
              <w:top w:w="10" w:type="dxa"/>
              <w:left w:w="10" w:type="dxa"/>
              <w:bottom w:w="0" w:type="dxa"/>
              <w:right w:w="10" w:type="dxa"/>
            </w:tcMar>
            <w:vAlign w:val="center"/>
          </w:tcPr>
          <w:p w14:paraId="146610B0">
            <w:pPr>
              <w:numPr>
                <w:ilvl w:val="0"/>
                <w:numId w:val="0"/>
              </w:numPr>
              <w:spacing w:line="240" w:lineRule="auto"/>
              <w:ind w:left="0" w:leftChars="0" w:firstLine="0" w:firstLineChars="0"/>
              <w:jc w:val="center"/>
              <w:rPr>
                <w:rFonts w:hint="eastAsia" w:ascii="宋体" w:hAnsi="宋体" w:eastAsia="宋体" w:cs="宋体"/>
                <w:color w:val="auto"/>
                <w:sz w:val="21"/>
                <w:szCs w:val="21"/>
                <w:highlight w:val="none"/>
                <w:u w:val="none"/>
                <w:lang w:val="en-US" w:eastAsia="zh-CN"/>
              </w:rPr>
            </w:pPr>
            <w:r>
              <w:rPr>
                <w:rFonts w:hint="eastAsia" w:ascii="宋体" w:hAnsi="宋体" w:eastAsia="宋体" w:cs="宋体"/>
                <w:color w:val="auto"/>
                <w:sz w:val="21"/>
                <w:szCs w:val="21"/>
                <w:highlight w:val="none"/>
                <w:u w:val="none"/>
                <w:lang w:val="en-US" w:eastAsia="zh-CN"/>
              </w:rPr>
              <w:t>1</w:t>
            </w:r>
          </w:p>
        </w:tc>
      </w:tr>
    </w:tbl>
    <w:p w14:paraId="598A03A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EC4F5"/>
    <w:multiLevelType w:val="singleLevel"/>
    <w:tmpl w:val="BDDEC4F5"/>
    <w:lvl w:ilvl="0" w:tentative="0">
      <w:start w:val="1"/>
      <w:numFmt w:val="decimal"/>
      <w:lvlText w:val="(%1)"/>
      <w:lvlJc w:val="left"/>
      <w:pPr>
        <w:ind w:left="425" w:hanging="425"/>
      </w:pPr>
      <w:rPr>
        <w:rFonts w:hint="default"/>
      </w:rPr>
    </w:lvl>
  </w:abstractNum>
  <w:abstractNum w:abstractNumId="1">
    <w:nsid w:val="D6FB79CD"/>
    <w:multiLevelType w:val="singleLevel"/>
    <w:tmpl w:val="D6FB79CD"/>
    <w:lvl w:ilvl="0" w:tentative="0">
      <w:start w:val="1"/>
      <w:numFmt w:val="decimal"/>
      <w:lvlText w:val="%1)"/>
      <w:lvlJc w:val="left"/>
      <w:pPr>
        <w:ind w:left="425" w:hanging="425"/>
      </w:pPr>
      <w:rPr>
        <w:rFonts w:hint="default"/>
      </w:rPr>
    </w:lvl>
  </w:abstractNum>
  <w:abstractNum w:abstractNumId="2">
    <w:nsid w:val="EFFE98D1"/>
    <w:multiLevelType w:val="singleLevel"/>
    <w:tmpl w:val="EFFE98D1"/>
    <w:lvl w:ilvl="0" w:tentative="0">
      <w:start w:val="1"/>
      <w:numFmt w:val="decimal"/>
      <w:lvlText w:val="%1)"/>
      <w:lvlJc w:val="left"/>
      <w:pPr>
        <w:ind w:left="425" w:hanging="425"/>
      </w:pPr>
      <w:rPr>
        <w:rFonts w:hint="default"/>
      </w:rPr>
    </w:lvl>
  </w:abstractNum>
  <w:abstractNum w:abstractNumId="3">
    <w:nsid w:val="04BCB446"/>
    <w:multiLevelType w:val="multilevel"/>
    <w:tmpl w:val="04BCB446"/>
    <w:lvl w:ilvl="0" w:tentative="0">
      <w:start w:val="1"/>
      <w:numFmt w:val="decimal"/>
      <w:isLgl/>
      <w:suff w:val="space"/>
      <w:lvlText w:val="%1"/>
      <w:lvlJc w:val="left"/>
      <w:pPr>
        <w:tabs>
          <w:tab w:val="left" w:pos="0"/>
        </w:tabs>
        <w:ind w:left="425" w:hanging="425"/>
      </w:pPr>
      <w:rPr>
        <w:rFonts w:hint="default"/>
      </w:rPr>
    </w:lvl>
    <w:lvl w:ilvl="1" w:tentative="0">
      <w:start w:val="1"/>
      <w:numFmt w:val="decimal"/>
      <w:pStyle w:val="3"/>
      <w:isLgl/>
      <w:suff w:val="space"/>
      <w:lvlText w:val="%1.%2"/>
      <w:lvlJc w:val="left"/>
      <w:pPr>
        <w:ind w:left="1472" w:hanging="992"/>
      </w:pPr>
      <w:rPr>
        <w:rFonts w:hint="default"/>
      </w:rPr>
    </w:lvl>
    <w:lvl w:ilvl="2" w:tentative="0">
      <w:start w:val="1"/>
      <w:numFmt w:val="decimal"/>
      <w:pStyle w:val="4"/>
      <w:isLgl/>
      <w:suff w:val="space"/>
      <w:lvlText w:val="%1.%2.%3"/>
      <w:lvlJc w:val="left"/>
      <w:pPr>
        <w:tabs>
          <w:tab w:val="left" w:pos="0"/>
        </w:tabs>
        <w:ind w:left="1418" w:hanging="1418"/>
      </w:pPr>
      <w:rPr>
        <w:rFonts w:hint="default"/>
        <w:b/>
        <w:bCs/>
      </w:rPr>
    </w:lvl>
    <w:lvl w:ilvl="3" w:tentative="0">
      <w:start w:val="1"/>
      <w:numFmt w:val="decimal"/>
      <w:pStyle w:val="5"/>
      <w:isLgl/>
      <w:suff w:val="space"/>
      <w:lvlText w:val="%1.%2.%3.%4"/>
      <w:lvlJc w:val="left"/>
      <w:pPr>
        <w:ind w:left="1984" w:hanging="1984"/>
      </w:pPr>
      <w:rPr>
        <w:rFonts w:hint="default"/>
      </w:rPr>
    </w:lvl>
    <w:lvl w:ilvl="4" w:tentative="0">
      <w:start w:val="1"/>
      <w:numFmt w:val="decimal"/>
      <w:isLgl/>
      <w:suff w:val="space"/>
      <w:lvlText w:val="%1.%2.%3.%4.%5"/>
      <w:lvlJc w:val="left"/>
      <w:pPr>
        <w:tabs>
          <w:tab w:val="left" w:pos="420"/>
        </w:tabs>
        <w:ind w:left="2551" w:hanging="2551"/>
      </w:pPr>
      <w:rPr>
        <w:rFonts w:hint="default"/>
      </w:rPr>
    </w:lvl>
    <w:lvl w:ilvl="5" w:tentative="0">
      <w:start w:val="1"/>
      <w:numFmt w:val="decimal"/>
      <w:isLgl/>
      <w:suff w:val="space"/>
      <w:lvlText w:val="%1.%2.%3.%4.%5.%6"/>
      <w:lvlJc w:val="left"/>
      <w:pPr>
        <w:tabs>
          <w:tab w:val="left" w:pos="420"/>
        </w:tabs>
        <w:ind w:left="3260" w:hanging="3260"/>
      </w:pPr>
      <w:rPr>
        <w:rFonts w:hint="default" w:ascii="宋体" w:hAnsi="宋体" w:eastAsia="宋体" w:cs="宋体"/>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2EF4BF8E"/>
    <w:multiLevelType w:val="singleLevel"/>
    <w:tmpl w:val="2EF4BF8E"/>
    <w:lvl w:ilvl="0" w:tentative="0">
      <w:start w:val="1"/>
      <w:numFmt w:val="decimal"/>
      <w:lvlText w:val="(%1)"/>
      <w:lvlJc w:val="left"/>
      <w:pPr>
        <w:ind w:left="425" w:hanging="425"/>
      </w:pPr>
      <w:rPr>
        <w:rFonts w:hint="default"/>
      </w:rPr>
    </w:lvl>
  </w:abstractNum>
  <w:abstractNum w:abstractNumId="5">
    <w:nsid w:val="5FFFEFFF"/>
    <w:multiLevelType w:val="singleLevel"/>
    <w:tmpl w:val="5FFFEFFF"/>
    <w:lvl w:ilvl="0" w:tentative="0">
      <w:start w:val="1"/>
      <w:numFmt w:val="decimal"/>
      <w:lvlText w:val="%1)"/>
      <w:lvlJc w:val="left"/>
      <w:pPr>
        <w:ind w:left="425" w:hanging="425"/>
      </w:pPr>
      <w:rPr>
        <w:rFonts w:hint="default"/>
      </w:rPr>
    </w:lvl>
  </w:abstractNum>
  <w:abstractNum w:abstractNumId="6">
    <w:nsid w:val="7FA6644B"/>
    <w:multiLevelType w:val="singleLevel"/>
    <w:tmpl w:val="7FA6644B"/>
    <w:lvl w:ilvl="0" w:tentative="0">
      <w:start w:val="1"/>
      <w:numFmt w:val="decimal"/>
      <w:lvlText w:val="%1)"/>
      <w:lvlJc w:val="left"/>
      <w:pPr>
        <w:ind w:left="425" w:hanging="425"/>
      </w:pPr>
      <w:rPr>
        <w:rFonts w:hint="default"/>
      </w:rPr>
    </w:lvl>
  </w:abstractNum>
  <w:num w:numId="1">
    <w:abstractNumId w:val="3"/>
  </w:num>
  <w:num w:numId="2">
    <w:abstractNumId w:val="0"/>
  </w:num>
  <w:num w:numId="3">
    <w:abstractNumId w:val="4"/>
  </w:num>
  <w:num w:numId="4">
    <w:abstractNumId w:val="6"/>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E6216E"/>
    <w:rsid w:val="2FE62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25"/>
      <w:jc w:val="both"/>
    </w:pPr>
    <w:rPr>
      <w:rFonts w:eastAsia="宋体" w:asciiTheme="minorHAnsi" w:hAnsiTheme="minorHAnsi" w:cstheme="minorBidi"/>
      <w:kern w:val="2"/>
      <w:sz w:val="24"/>
      <w:szCs w:val="22"/>
      <w:lang w:val="en-US" w:eastAsia="zh-CN" w:bidi="ar-SA"/>
    </w:rPr>
  </w:style>
  <w:style w:type="paragraph" w:styleId="3">
    <w:name w:val="heading 2"/>
    <w:basedOn w:val="1"/>
    <w:next w:val="1"/>
    <w:unhideWhenUsed/>
    <w:qFormat/>
    <w:uiPriority w:val="0"/>
    <w:pPr>
      <w:keepNext/>
      <w:keepLines/>
      <w:numPr>
        <w:ilvl w:val="1"/>
        <w:numId w:val="1"/>
      </w:numPr>
      <w:tabs>
        <w:tab w:val="left" w:pos="368"/>
      </w:tabs>
      <w:ind w:left="0" w:firstLine="0"/>
      <w:outlineLvl w:val="1"/>
    </w:pPr>
    <w:rPr>
      <w:rFonts w:ascii="宋体" w:hAnsi="宋体" w:cs="宋体"/>
      <w:b/>
      <w:color w:val="000000"/>
      <w:sz w:val="30"/>
      <w:szCs w:val="21"/>
      <w14:ligatures w14:val="standardContextual"/>
    </w:rPr>
  </w:style>
  <w:style w:type="paragraph" w:styleId="4">
    <w:name w:val="heading 3"/>
    <w:basedOn w:val="1"/>
    <w:next w:val="1"/>
    <w:unhideWhenUsed/>
    <w:qFormat/>
    <w:uiPriority w:val="0"/>
    <w:pPr>
      <w:keepNext/>
      <w:keepLines/>
      <w:numPr>
        <w:ilvl w:val="2"/>
        <w:numId w:val="1"/>
      </w:numPr>
      <w:ind w:left="0" w:firstLine="0"/>
      <w:outlineLvl w:val="2"/>
    </w:pPr>
    <w:rPr>
      <w:rFonts w:ascii="宋体" w:hAnsi="宋体" w:cs="宋体"/>
      <w:color w:val="000000"/>
      <w:sz w:val="28"/>
      <w14:ligatures w14:val="standardContextual"/>
    </w:rPr>
  </w:style>
  <w:style w:type="paragraph" w:styleId="5">
    <w:name w:val="heading 4"/>
    <w:basedOn w:val="1"/>
    <w:next w:val="1"/>
    <w:unhideWhenUsed/>
    <w:qFormat/>
    <w:uiPriority w:val="0"/>
    <w:pPr>
      <w:keepNext/>
      <w:keepLines/>
      <w:numPr>
        <w:ilvl w:val="3"/>
        <w:numId w:val="1"/>
      </w:numPr>
      <w:ind w:left="0" w:firstLine="0"/>
      <w:outlineLvl w:val="3"/>
    </w:pPr>
    <w:rPr>
      <w:rFonts w:ascii="宋体" w:hAnsi="宋体" w:cs="宋体"/>
      <w:b/>
      <w:color w:val="000000"/>
      <w14:ligatures w14:val="standardContextual"/>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ind w:firstLine="480" w:firstLineChars="200"/>
    </w:pPr>
    <w:rPr>
      <w:rFonts w:ascii="Arial" w:hAnsi="Arial"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2026-05-20T02:37:00Z</dcterms:created>
  <dc:creator>TCC 数字化交付项目组</dc:creator>
  <cp:lastModifiedBy>TCC 数字化交付项目组</cp:lastModifiedBy>
  <dcterms:modified xsi:type="dcterms:W3CDTF">2026-05-20T02:37:43Z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BBAB464B4FCA4E2786EF8BF064D17C98_11</vt:lpwstr>
  </property>
  <property fmtid="{D5CDD505-2E9C-101B-9397-08002B2CF9AE}" pid="4" name="KSOTemplateDocerSaveRecord">
    <vt:lpwstr>eyJoZGlkIjoiNGEyNDk3MDNiYjZiYWU3N2QwOGU2Zjc5ZmExYmU2YjciLCJ1c2VySWQiOiI0OTY1OTY4MzkifQ==</vt:lpwstr>
  </property>
</Properties>
</file>