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SecureSign</w:t>
      </w:r>
    </w:p>
    <w:p>
      <w:pPr>
        <w:spacing w:after="80"/>
        <w:jc w:val="center"/>
      </w:pPr>
      <w:r>
        <w:rPr>
          <w:color w:val="2E5395"/>
          <w:sz w:val="36"/>
          <w:szCs w:val="36"/>
        </w:rPr>
        <w:t xml:space="preserve">Manual Técnico de Integración</w:t>
      </w:r>
    </w:p>
    <w:p>
      <w:pPr>
        <w:spacing w:after="600"/>
        <w:jc w:val="center"/>
      </w:pPr>
      <w:r>
        <w:rPr>
          <w:i/>
          <w:iCs/>
          <w:color w:val="666666"/>
          <w:sz w:val="24"/>
          <w:szCs w:val="24"/>
        </w:rPr>
        <w:t xml:space="preserve">Para equipos de desarrollo de sistemas externos (ERP, SGD, portales)</w:t>
      </w:r>
    </w:p>
    <w:p>
      <w:pPr>
        <w:spacing w:after="800"/>
        <w:jc w:val="center"/>
      </w:pPr>
      <w:r>
        <w:rPr>
          <w:color w:val="888888"/>
          <w:sz w:val="18"/>
          <w:szCs w:val="18"/>
        </w:rPr>
        <w:t xml:space="preserve">Auditado contra el Gateway real y los controladores reales · Actualizado 2026-10-01</w:t>
      </w:r>
    </w:p>
    <w:p>
      <w:r>
        <w:br w:type="page"/>
      </w:r>
    </w:p>
    <w:p>
      <w:pPr>
        <w:pStyle w:val="Heading1"/>
        <w:spacing w:after="160" w:before="320"/>
      </w:pPr>
      <w:r>
        <w:t xml:space="preserve">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Introducción</w:t>
      </w:r>
    </w:p>
    <w:p>
      <w:pPr>
        <w:spacing w:after="160"/>
      </w:pPr>
      <w:r>
        <w:t xml:space="preserve">SecureSign expone su funcionalidad como una API REST vía un Gateway único. Este manual está dirigido a equipos técnicos de sistemas ERP, de Gestión Documental (SGD), RRHH, judiciales, educativos o financieros que deseen incorporar firma electrónica/digital.</w:t>
      </w:r>
    </w:p>
    <w:p>
      <w:pPr>
        <w:spacing w:after="160"/>
      </w:pPr>
      <w:r>
        <w:rPr>
          <w:b/>
          <w:bCs/>
        </w:rPr>
        <w:t xml:space="preserve">Fuente de verdad: </w:t>
      </w:r>
      <w:r>
        <w:t xml:space="preserve">el script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src/backend/ejemplos-integracion/firmar-documento.sh</w:t>
      </w:r>
      <w:r>
        <w:t xml:space="preserve"> ejecuta el flujo completo contra un Gateway real — no es pseudocódigo. Ante cualquier duda de este manual, ese script gana.</w:t>
      </w:r>
    </w:p>
    <w:p>
      <w:pPr>
        <w:pStyle w:val="Heading1"/>
        <w:spacing w:after="160" w:before="320"/>
      </w:pPr>
      <w:r>
        <w:t xml:space="preserve">2. Requisitos técnicos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URL base: la del Gateway del entorno que te entregue el operador de SecureSign. No hay versionado de rutas (/v1) — todas las rutas son /api/... directamente.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TLS depende del despliegue del operador; en producción, terminar TLS delante del Gateway.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existe hoy un sandbox público ni un portal de autoservicio de alta — las credenciales las asigna el operador de SecureSign.</w:t>
      </w:r>
    </w:p>
    <w:p>
      <w:pPr>
        <w:pStyle w:val="Heading1"/>
        <w:spacing w:after="160" w:before="320"/>
      </w:pPr>
      <w:r>
        <w:t xml:space="preserve">3. Autenticación</w:t>
      </w:r>
    </w:p>
    <w:p>
      <w:pPr>
        <w:pStyle w:val="Heading2"/>
        <w:spacing w:after="160" w:before="320"/>
      </w:pPr>
      <w:r>
        <w:t xml:space="preserve">3.1 OAuth2 (Client Credentials) — único flujo soportado</w:t>
      </w:r>
    </w:p>
    <w:p>
      <w:pPr>
        <w:pBdr>
          <w:left w:val="single" w:color="999999" w:sz="12" w:space="8"/>
        </w:pBdr>
        <w:shd w:fill="F5F5F5" w:val="clear"/>
        <w:spacing w:after="200" w:before="100"/>
        <w:ind w:left="100"/>
      </w:pPr>
      <w:r>
        <w:rPr>
          <w:rFonts w:ascii="Consolas" w:cs="Consolas" w:eastAsia="Consolas" w:hAnsi="Consolas"/>
          <w:sz w:val="18"/>
          <w:szCs w:val="18"/>
        </w:rPr>
        <w:t xml:space="preserve">POST /api/auth/token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Content-Type: application/x-www-form-urlencoded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grant_type=client_credentials&amp;client_id={ClientId}&amp;client_secret={ClientSecret}</w:t>
      </w:r>
    </w:p>
    <w:p>
      <w:pPr>
        <w:spacing w:after="160"/>
      </w:pPr>
      <w:r>
        <w:t xml:space="preserve">Respuesta:</w:t>
      </w:r>
    </w:p>
    <w:p>
      <w:pPr>
        <w:pBdr>
          <w:left w:val="single" w:color="999999" w:sz="12" w:space="8"/>
        </w:pBdr>
        <w:shd w:fill="F5F5F5" w:val="clear"/>
        <w:spacing w:after="200" w:before="100"/>
        <w:ind w:lef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"access_token": "eyJhbGciOiJSUzI1NiIsImtpZCI6...",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"token_type": "Bearer",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"expires_in": 3600,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"scope": "documentos.crear documentos.leer firmas.crear firmas.leer"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  <w:r>
        <w:t xml:space="preserve">client_id/client_secret los asigna el operador de SecureSign por integrador — no hay autoservicio de alta hoy.</w:t>
      </w:r>
    </w:p>
    <w:p>
      <w:pPr>
        <w:pStyle w:val="Heading2"/>
        <w:spacing w:after="160" w:before="320"/>
      </w:pPr>
      <w:r>
        <w:t xml:space="preserve">3.2 JWT</w:t>
      </w:r>
    </w:p>
    <w:p>
      <w:pPr>
        <w:spacing w:after="160"/>
      </w:pPr>
      <w:r>
        <w:t xml:space="preserve">El access_token es un JWT firmado con RS256 por el Gateway (único firmante de la plataforma; la llave privada nunca sale de ahí). Todos los endpoints de negocio requieren Authorization: Bearer {access_token}.</w:t>
      </w:r>
    </w:p>
    <w:p>
      <w:pPr>
        <w:pBdr>
          <w:left w:val="single" w:color="2E5395" w:sz="12" w:space="8"/>
        </w:pBdr>
        <w:spacing w:after="200"/>
        <w:ind w:left="200"/>
      </w:pPr>
      <w:r>
        <w:rPr>
          <w:i/>
          <w:iCs/>
          <w:color w:val="555555"/>
        </w:rPr>
        <w:t xml:space="preserve">Nunca exponer client_secret en código de frontend/móvil. La autenticación OAuth2 debe ejecutarse siempre desde el backend del sistema integrador.</w:t>
      </w:r>
    </w:p>
    <w:p>
      <w:pPr>
        <w:pStyle w:val="Heading2"/>
        <w:spacing w:after="160" w:before="320"/>
      </w:pPr>
      <w:r>
        <w:t xml:space="preserve">3.3 Límite de tasa de /api/auth/token</w:t>
      </w:r>
    </w:p>
    <w:p>
      <w:pPr>
        <w:spacing w:after="160"/>
      </w:pPr>
      <w:r>
        <w:t xml:space="preserve">El Gateway limita este endpoint a 10 peticiones por minuto por dirección IP de origen. Al superarlo:</w:t>
      </w:r>
    </w:p>
    <w:p>
      <w:pPr>
        <w:pBdr>
          <w:left w:val="single" w:color="999999" w:sz="12" w:space="8"/>
        </w:pBdr>
        <w:shd w:fill="F5F5F5" w:val="clear"/>
        <w:spacing w:after="200" w:before="100"/>
        <w:ind w:left="100"/>
      </w:pPr>
      <w:r>
        <w:rPr>
          <w:rFonts w:ascii="Consolas" w:cs="Consolas" w:eastAsia="Consolas" w:hAnsi="Consolas"/>
          <w:sz w:val="18"/>
          <w:szCs w:val="18"/>
        </w:rPr>
        <w:t xml:space="preserve">HTTP/1.1 429 Too Many Requests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Retry-After: 60</w:t>
      </w:r>
    </w:p>
    <w:p>
      <w:pPr>
        <w:spacing w:after="160"/>
      </w:pPr>
      <w:r>
        <w:t xml:space="preserve">Un integrador que cachea el access_token hasta su expiración (buena práctica, capítulo 7) no debería acercarse a este límite.</w:t>
      </w:r>
    </w:p>
    <w:p>
      <w:pPr>
        <w:pStyle w:val="Heading1"/>
        <w:spacing w:after="160" w:before="320"/>
      </w:pPr>
      <w:r>
        <w:t xml:space="preserve">4. Flujo completo de integración</w:t>
      </w:r>
    </w:p>
    <w:p>
      <w:pPr>
        <w:spacing w:after="160"/>
      </w:pPr>
      <w:r>
        <w:t xml:space="preserve">Autenticación → registro de documento → solicitud de firma → visualización → señal de validación de identidad → firma → descarga → validación pública. No hay webhooks: el sistema integrador debe hacer polling de GET /api/firmas/{id}/estado.</w:t>
      </w:r>
    </w:p>
    <w:p>
      <w:pPr>
        <w:pStyle w:val="Heading1"/>
        <w:spacing w:after="160" w:before="320"/>
      </w:pPr>
      <w:r>
        <w:t xml:space="preserve">5. Catálogo de API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55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11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Método</w:t>
            </w:r>
          </w:p>
        </w:tc>
        <w:tc>
          <w:tcPr>
            <w:tcW w:type="dxa" w:w="55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/api/auth/token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5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Autenticación OAuth2 client_credentials. Límite: 10/min por IP.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/api/documentos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5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Registrar documento (multipart: archivo, codigoExterno, usuarioSolicitanteId).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/api/documentos/{id}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5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Metadata del documento.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/api/documentos/{id}/contenido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5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Archivo original, sin firmar.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/api/documentos/{id}/firmado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5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PDF firmado (PAdES real) + X-Hash-Documento / X-Evidencia-Url.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/api/firmas/solicitudes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5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Crear solicitud de firma (documentoId, tipoFirma, firmantes).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/api/firmas/{id}/estado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5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Estado de la solicitud y de cada firmante.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/api/firmas/pendientes/{firmanteId}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5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Solicitudes pendientes de un firmante.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/api/firmas/{id}/flujos/{flujoId}/visualizar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5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Registra evidencia de visualización.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/api/firmas/{id}/flujos/{flujoId}/posicion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5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Posición de firma visible (solo PDF).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/api/firmas/{id}/flujos/{flujoId}/firmar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5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Firmar (pin opcional, solo PKCS#11 real).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/api/firmas/{id}/flujos/{flujoId}/rechazar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5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Rechazar la firma (motivo).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/api/interno/identidad/{usuarioId}/senales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5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Señal de validación de identidad (atajo del scaffold).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/api/validacion/{codigo}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5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Validación pública, sin token — veredicto simple.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/api/validador/pdf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5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Público — expediente PAdES completo de cualquier PDF.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Sobre firmantes: </w:t>
      </w:r>
      <w:r>
        <w:t xml:space="preserve">no se envía nombre, documento de identidad ni correo — solo 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{ usuarioId, orden }</w:t>
      </w:r>
      <w:r>
        <w:t xml:space="preserve"> de usuarios que ya existen en SecureSign.</w:t>
      </w:r>
    </w:p>
    <w:p>
      <w:pPr>
        <w:spacing w:after="160"/>
      </w:pPr>
      <w:r>
        <w:rPr>
          <w:b/>
          <w:bCs/>
        </w:rPr>
        <w:t xml:space="preserve">Sobre el validador público (</w:t>
      </w:r>
      <w:r>
        <w:rPr>
          <w:rFonts w:ascii="Consolas" w:cs="Consolas" w:eastAsia="Consolas" w:hAnsi="Consolas"/>
          <w:sz w:val="20"/>
          <w:szCs w:val="20"/>
          <w:shd w:fill="EEEEEE" w:val="clear"/>
        </w:rPr>
        <w:t xml:space="preserve">POST /api/validador/pdf</w:t>
      </w:r>
      <w:r>
        <w:rPr>
          <w:b/>
          <w:bCs/>
        </w:rPr>
        <w:t xml:space="preserve">): </w:t>
      </w:r>
      <w:r>
        <w:t xml:space="preserve">recibe el PDF directamente, sin token, y responde el expediente PAdES completo por cada firma del documento. Ver Anexo A para el catálogo completo de campos.</w:t>
      </w:r>
    </w:p>
    <w:p>
      <w:pPr>
        <w:pStyle w:val="Heading1"/>
        <w:spacing w:after="160" w:before="320"/>
      </w:pPr>
      <w:r>
        <w:t xml:space="preserve">6. Manejo de errores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Código</w:t>
            </w:r>
          </w:p>
        </w:tc>
        <w:tc>
          <w:tcPr>
            <w:tcW w:type="dxa" w:w="3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Significado</w:t>
            </w:r>
          </w:p>
        </w:tc>
        <w:tc>
          <w:tcPr>
            <w:tcW w:type="dxa" w:w="45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Acción recomendada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200 OK / 201 Created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Operación exitosa</w:t>
            </w:r>
          </w:p>
        </w:tc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400 Bad Request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Payload inválido o solicitud rechazada por una regla de negocio</w:t>
            </w:r>
          </w:p>
        </w:tc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Revisar mensaje en la respuesta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401 Unauthorized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Token ausente, expirado o inválido</w:t>
            </w:r>
          </w:p>
        </w:tc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Renovar token vía /api/auth/token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403 Forbidden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Token válido pero sin el scope requerido</w:t>
            </w:r>
          </w:p>
        </w:tc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Verificar los scopes concedidos al cliente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404 Not Found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Recurso inexistente o no perteneciente al tenant del token</w:t>
            </w:r>
          </w:p>
        </w:tc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Verificar el id y que corresponde al mismo tenant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429 Too Many Requests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Límite de tasa del Gateway (capítulo 3)</w:t>
            </w:r>
          </w:p>
        </w:tc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Reintentar respetando la cabecera Retry-After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500 Internal Server Error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Error no controlado</w:t>
            </w:r>
          </w:p>
        </w:tc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Reintentar con backoff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Formato real de error (confirmado en los controladores):</w:t>
      </w:r>
    </w:p>
    <w:p>
      <w:pPr>
        <w:pBdr>
          <w:left w:val="single" w:color="999999" w:sz="12" w:space="8"/>
        </w:pBdr>
        <w:shd w:fill="F5F5F5" w:val="clear"/>
        <w:spacing w:after="200" w:before="100"/>
        <w:ind w:left="100"/>
      </w:pPr>
      <w:r>
        <w:rPr>
          <w:rFonts w:ascii="Consolas" w:cs="Consolas" w:eastAsia="Consolas" w:hAnsi="Consolas"/>
          <w:sz w:val="18"/>
          <w:szCs w:val="18"/>
        </w:rPr>
        <w:t xml:space="preserve">{ "error": "SOLICITUD_INVALIDA", "mensaje": "El campo 'documentoId' es requerido" }</w:t>
      </w:r>
    </w:p>
    <w:p>
      <w:pPr>
        <w:spacing w:after="160"/>
      </w:pPr>
      <w:r>
        <w:t xml:space="preserve">No hay traceId en el envelope de error hoy.</w:t>
      </w:r>
    </w:p>
    <w:p>
      <w:pPr>
        <w:pStyle w:val="Heading1"/>
        <w:spacing w:after="160" w:before="320"/>
      </w:pPr>
      <w:r>
        <w:t xml:space="preserve">7. Buenas prácticas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Nunca almacenar client_secret en frontend, repositorios de código o logs.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Usar codigoExterno al registrar un documento para poder correlacionarlo con el propio sistema.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Cachear el access_token hasta su expiración (expires_in) en lugar de solicitarlo en cada llamada.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Hacer polling de GET /api/firmas/{id}/estado con un intervalo razonable (no hay webhooks todavía).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Probar el flujo completo contra el entorno que te entregue el operador antes de pedir credenciales de producción.</w:t>
      </w:r>
    </w:p>
    <w:p>
      <w:pPr>
        <w:pStyle w:val="Heading1"/>
        <w:spacing w:after="160" w:before="320"/>
      </w:pPr>
      <w:r>
        <w:t xml:space="preserve">8. CORS (integraciones desde el navegador)</w:t>
      </w:r>
    </w:p>
    <w:p>
      <w:pPr>
        <w:spacing w:after="160"/>
      </w:pPr>
      <w:r>
        <w:t xml:space="preserve">Si el sistema integrador llama a la API directamente desde JavaScript en el navegador del usuario final, el Gateway aplica una política CORS restrictiva fuera de entornos de desarrollo: el operador de SecureSign debe autorizar explícitamente el origen del sistema integrador. Sin esa autorización, el navegador bloquea las respuestas aunque la llamada al servidor sea exitosa.</w:t>
      </w:r>
    </w:p>
    <w:p>
      <w:pPr>
        <w:pBdr>
          <w:left w:val="single" w:color="2E5395" w:sz="12" w:space="8"/>
        </w:pBdr>
        <w:spacing w:after="200"/>
        <w:ind w:left="200"/>
      </w:pPr>
      <w:r>
        <w:rPr>
          <w:i/>
          <w:iCs/>
          <w:color w:val="555555"/>
        </w:rPr>
        <w:t xml:space="preserve">Recomendación: llamar a la API desde el backend del sistema integrador, nunca desde el navegador del usuario final — así el client_secret nunca queda expuesto y la integración no depende de la configuración de CORS del operador.</w:t>
      </w:r>
    </w:p>
    <w:p>
      <w:pPr>
        <w:pStyle w:val="Heading1"/>
        <w:spacing w:after="160" w:before="320"/>
      </w:pPr>
      <w:r>
        <w:t xml:space="preserve">9. SDKs de referencia</w:t>
      </w:r>
    </w:p>
    <w:p>
      <w:pPr>
        <w:spacing w:after="160"/>
      </w:pPr>
      <w:r>
        <w:t xml:space="preserve">Existen tres SDK de referencia, reescritos contra la API real (client_id/client_secret, sin versionado de rutas, DTOs reales):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sdk/dotnet/SecureSignClient.cs — .NET 6+, un solo archivo.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sdk/javascript/secureSignClient.js — Node.js 18+, sin dependencias (fetch/FormData/AbortController globales).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sdk/python/securesign_client.py — Python 3.9+, requiere pip install requests.</w:t>
      </w:r>
    </w:p>
    <w:p>
      <w:pPr>
        <w:spacing w:after="160"/>
      </w:pPr>
      <w:r>
        <w:t xml:space="preserve">Los tres cubren: autenticación con caché de token, documentos (registrar/metadata/contenido/descargar firmado), el ciclo de una solicitud de firma (crear/estado/visualizar/posición/firmar/rechazar/pendientes), la señal de identidad, y los dos endpoints públicos de validación. Cada uno tiene timeout configurable, cancelación idiomática al lenguaje, y una excepción propia que expone el código/mensaje real del error y el Retry-After de un 429.</w:t>
      </w:r>
    </w:p>
    <w:p>
      <w:pPr>
        <w:spacing w:after="160"/>
      </w:pPr>
      <w:r>
        <w:t xml:space="preserve">Los tres SDK también exponen atajos planos de un solo nivel (AutenticarAsync/EnviarDocumentoAsync/SolicitarFirmaAsync/ValidarFirmaAsync en .NET, y sus equivalentes en JavaScript/Python) que delegan directo en los métodos de recurso de arriba, sin lógica nueva — ver docs/05-integración/sdk/README.md para el detalle de ambos estilos y por qué coexisten.</w:t>
      </w:r>
    </w:p>
    <w:p>
      <w:pPr>
        <w:spacing w:after="160"/>
      </w:pPr>
      <w:r>
        <w:t xml:space="preserve">Ejemplo mínimo (Python) — mismo flujo que firmar-documento.sh:</w:t>
      </w:r>
    </w:p>
    <w:p>
      <w:pPr>
        <w:pBdr>
          <w:left w:val="single" w:color="999999" w:sz="12" w:space="8"/>
        </w:pBdr>
        <w:shd w:fill="F5F5F5" w:val="clear"/>
        <w:spacing w:after="200" w:before="100"/>
        <w:ind w:left="100"/>
      </w:pPr>
      <w:r>
        <w:rPr>
          <w:rFonts w:ascii="Consolas" w:cs="Consolas" w:eastAsia="Consolas" w:hAnsi="Consolas"/>
          <w:sz w:val="18"/>
          <w:szCs w:val="18"/>
        </w:rPr>
        <w:t xml:space="preserve">cliente = SecureSignClient("mi-client-id", "mi-client-secret", "https://gateway.tu-entorno")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documento = cliente.documentos.registrar(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archivo, "contrato.pdf", codigo_externo="EXP-2026-00123")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solicitud = cliente.firmas.crear_solicitud(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documento_id=documento.id_documento, tipo_firma="Avanzada",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firmantes=[{"usuarioId": "&lt;guid&gt;", "orden": 1}])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estado = cliente.firmas.consultar_estado(solicitud.solicitud_firma_id)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flujo_id = estado.firmantes[0].flujo_firma_id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cliente.firmas.visualizar(solicitud.solicitud_firma_id, flujo_id)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cliente.firmas.firmar(solicitud.solicitud_firma_id, flujo_id)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firmado = cliente.documentos.descargar_firmado(documento.id_documento)</w:t>
      </w:r>
    </w:p>
    <w:p>
      <w:pPr>
        <w:spacing w:after="160"/>
      </w:pPr>
      <w:r>
        <w:rPr>
          <w:b/>
          <w:bCs/>
        </w:rPr>
        <w:t xml:space="preserve">No cubren: </w:t>
      </w:r>
      <w:r>
        <w:t xml:space="preserve">los endpoints de evidencia/auditoría (consultas ocasionales, no parte del flujo de firma) ni el flujo de lote — usar HTTP directo con el mismo token para esos casos.</w:t>
      </w:r>
    </w:p>
    <w:p>
      <w:pPr>
        <w:pBdr>
          <w:left w:val="single" w:color="2E5395" w:sz="12" w:space="8"/>
        </w:pBdr>
        <w:spacing w:after="200"/>
        <w:ind w:left="200"/>
      </w:pPr>
      <w:r>
        <w:rPr>
          <w:i/>
          <w:iCs/>
          <w:color w:val="555555"/>
        </w:rPr>
        <w:t xml:space="preserve">No reemplazan la prueba contra el Gateway real: firmar-documento.sh sigue siendo el único ejemplo ejecutado de punta a punta contra un stack real. Si el comportamiento de un SDK y el del script alguna vez difieren, el script es la referencia.</w:t>
      </w:r>
    </w:p>
    <w:p>
      <w:pPr>
        <w:pStyle w:val="Heading1"/>
        <w:spacing w:after="160" w:before="320"/>
      </w:pPr>
      <w:r>
        <w:t xml:space="preserve">10. Ejemplo funcional de referencia</w:t>
      </w:r>
    </w:p>
    <w:p>
      <w:pPr>
        <w:spacing w:after="160"/>
      </w:pPr>
      <w:r>
        <w:t xml:space="preserve">El ejemplo autoritativo de este manual es src/backend/ejemplos-integracion/firmar-documento.sh — un script bash que ejecuta el flujo completo contra un Gateway real:</w:t>
      </w:r>
    </w:p>
    <w:p>
      <w:pPr>
        <w:pBdr>
          <w:left w:val="single" w:color="999999" w:sz="12" w:space="8"/>
        </w:pBdr>
        <w:shd w:fill="F5F5F5" w:val="clear"/>
        <w:spacing w:after="200" w:before="100"/>
        <w:ind w:left="100"/>
      </w:pPr>
      <w:r>
        <w:rPr>
          <w:rFonts w:ascii="Consolas" w:cs="Consolas" w:eastAsia="Consolas" w:hAnsi="Consolas"/>
          <w:sz w:val="18"/>
          <w:szCs w:val="18"/>
        </w:rPr>
        <w:t xml:space="preserve">./firmar-documento.sh https://gateway.tu-entorno ./contrato.pdf</w:t>
      </w:r>
    </w:p>
    <w:p>
      <w:pPr>
        <w:pStyle w:val="Heading1"/>
        <w:spacing w:after="160" w:before="320"/>
      </w:pPr>
      <w:r>
        <w:t xml:space="preserve">11. Webhooks</w:t>
      </w:r>
    </w:p>
    <w:p>
      <w:pPr>
        <w:spacing w:after="160"/>
      </w:pPr>
      <w:r>
        <w:t xml:space="preserve">No existe ningún mecanismo de webhooks salientes hoy — ni registro de URL de callback, ni eventos, ni firma HMAC. El sistema integrador debe hacer polling de GET /api/firmas/{id}/estado (ver capítulo 7).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Anexo A — Catálogo de campos del validador (POST /api/validador/pdf)</w:t>
      </w:r>
    </w:p>
    <w:p>
      <w:pPr>
        <w:spacing w:after="160"/>
      </w:pPr>
      <w:r>
        <w:t xml:space="preserve">Cada objeto de firma que devuelve el validador incluye, además de los campos criptográficos básicos: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42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Significado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firmaCriptograficaValida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La firma matemática sobre el contenido es correcta.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certificadoVigente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El certificado no expiró ni es anterior a su NotBefore.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cadenaValida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La cadena X.509 sube hasta una raíz confiable.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raizConfiableIofe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La cadena termina en una entidad acreditada de la TSL de INDECOPI.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propositoValido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BasicConstraints/KeyUsage indican propósito de firma.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estadoRevocacionOcsp / Crl / Combinado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Good / Revoked / Unknown / Unavailable — nunca colapsado a válido.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extendedKeyUsages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OID de EKU que declara el certificado (siempre reportado).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politicasCertificado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OID de CertificatePolicies que declara el certificado (siempre reportado).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estadoPolitica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SoloInformativa por defecto; Cumple/NoCumple si el operador configuró OID permitidos.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estadoFinal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true solo si TODO lo anterior es verdadero, incluida revocación en Good.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nombreFirmante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Nombre del firmante tal como quedó incrustado en la firma PAdES (campo /Name).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instanteSelloTiempo / selloTiempoAutoridad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Instante y autoridad del sello de tiempo RFC 3161 embebido sobre la firma (PAdES-T) — solo si existe.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sellosDeArchivo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Arreglo a nivel de documento (no por firma): sello de tiempo RFC 3161 sobre la firma y el almacén de validación a largo plazo ya embebido (PAdES-LTA), con su propio instante y autoridad.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evidencia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</w:rPr>
              <w:t xml:space="preserve">Lista de líneas de texto, una por cada comprobación realizada (vigencia, cadena, TSL, OCSP, CRL, sello de tiempo) — pensada para mostrar o auditar, no para parsear por campo.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Calibri" w:cs="Calibri" w:eastAsia="Calibri" w:hAnsi="Calibri"/>
      <w:b/>
      <w:bCs/>
      <w:color w:val="1F3864"/>
      <w:sz w:val="56"/>
      <w:szCs w:val="5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SecureSign — Manual Técnico de Integración</dc:title>
  <dc:creator>SecureSign</dc:creator>
  <dc:description>Manual técnico para equipos que integran con la API de SecureSign</dc:description>
  <cp:lastModifiedBy>Un-named</cp:lastModifiedBy>
  <cp:revision>1</cp:revision>
  <dcterms:created xsi:type="dcterms:W3CDTF">2026-09-29T21:44:10.706Z</dcterms:created>
  <dcterms:modified xsi:type="dcterms:W3CDTF">2026-09-29T21:44:10.707Z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