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aps/>
          <w:color w:val="1F4E79"/>
          <w:sz w:val="26"/>
          <w:szCs w:val="26"/>
        </w:rPr>
        <w:t xml:space="preserve">SecureSign Perú</w:t>
      </w:r>
    </w:p>
    <w:p>
      <w:pPr>
        <w:spacing w:before="300"/>
        <w:jc w:val="center"/>
      </w:pPr>
      <w:r>
        <w:rPr>
          <w:b/>
          <w:bCs/>
          <w:color w:val="262626"/>
          <w:sz w:val="48"/>
          <w:szCs w:val="48"/>
        </w:rPr>
        <w:t xml:space="preserve">Manual Técnico de Integración</w:t>
      </w:r>
    </w:p>
    <w:p>
      <w:pPr>
        <w:spacing w:after="500" w:before="200"/>
        <w:jc w:val="center"/>
      </w:pPr>
      <w:r>
        <w:rPr>
          <w:color w:val="595959"/>
          <w:sz w:val="26"/>
          <w:szCs w:val="26"/>
        </w:rPr>
        <w:t xml:space="preserve">API REST para sistemas externos (ERP, gestión documental, plataformas propias)</w:t>
      </w:r>
    </w:p>
    <w:p>
      <w:pPr>
        <w:spacing w:before="1400"/>
        <w:jc w:val="center"/>
      </w:pPr>
      <w:r>
        <w:rPr>
          <w:i/>
          <w:iCs/>
          <w:color w:val="595959"/>
          <w:sz w:val="20"/>
          <w:szCs w:val="20"/>
        </w:rPr>
        <w:t xml:space="preserve">Auditado contra el código fuente real de la plataforma — cada endpoint, campo y ejemplo de este manual corresponde a lo implementado y probado, no a una API aspiracional.</w:t>
      </w:r>
    </w:p>
    <w:p>
      <w:pPr>
        <w:spacing w:before="800"/>
        <w:jc w:val="center"/>
      </w:pPr>
      <w:r>
        <w:rPr>
          <w:color w:val="595959"/>
          <w:sz w:val="18"/>
          <w:szCs w:val="18"/>
        </w:rPr>
        <w:t xml:space="preserve">Versión del manual: 2026-09-27  ·  Público objetivo: equipos de desarrollo backend</w:t>
      </w:r>
    </w:p>
    <w:p>
      <w:r>
        <w:br w:type="page"/>
      </w:r>
    </w:p>
    <w:p>
      <w:pPr>
        <w:sectPr>
          <w:pgSz w:w="12240" w:h="15840" w:orient="portrait"/>
          <w:pgMar w:top="1080" w:right="1260" w:bottom="1080" w:left="1260" w:header="708" w:footer="708" w:gutter="0"/>
          <w:pgNumType/>
          <w:docGrid w:linePitch="360"/>
        </w:sectPr>
      </w:pPr>
    </w:p>
    <w:p>
      <w:pPr>
        <w:pStyle w:val="Heading1"/>
        <w:pBdr>
          <w:bottom w:val="single" w:color="1F4E79" w:sz="6" w:space="4"/>
        </w:pBdr>
        <w:spacing w:after="200" w:before="420"/>
      </w:pPr>
      <w:r>
        <w:rPr>
          <w:b/>
          <w:bCs/>
          <w:color w:val="1F4E79"/>
          <w:sz w:val="28"/>
          <w:szCs w:val="28"/>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080" w:right="1260" w:bottom="1080" w:left="1260" w:header="708" w:footer="708" w:gutter="0"/>
          <w:pgNumType/>
          <w:docGrid w:linePitch="360"/>
        </w:sectPr>
      </w:pPr>
    </w:p>
    <w:p>
      <w:pPr>
        <w:pStyle w:val="Heading1"/>
        <w:pBdr>
          <w:bottom w:val="single" w:color="1F4E79" w:sz="6" w:space="4"/>
        </w:pBdr>
        <w:spacing w:after="200" w:before="420"/>
      </w:pPr>
      <w:r>
        <w:rPr>
          <w:b/>
          <w:bCs/>
          <w:color w:val="1F4E79"/>
          <w:sz w:val="28"/>
          <w:szCs w:val="28"/>
        </w:rPr>
        <w:t xml:space="preserve">1. Introducción y alcance</w:t>
      </w:r>
    </w:p>
    <w:p>
      <w:pPr>
        <w:spacing w:after="160" w:line="300"/>
      </w:pPr>
      <w:r>
        <w:rPr>
          <w:b w:val="false"/>
          <w:bCs w:val="false"/>
          <w:i w:val="false"/>
          <w:iCs w:val="false"/>
          <w:sz w:val="21"/>
          <w:szCs w:val="21"/>
        </w:rPr>
        <w:t xml:space="preserve">Este manual está dirigido a equipos técnicos que desean integrar la firma electrónica/digital de SecureSign Perú en un sistema externo — ERP, sistema de gestión documental (SGD), plataforma de RR. HH., portal judicial, educativo o financiero — mediante llamadas HTTP directas a la API REST.</w:t>
      </w:r>
    </w:p>
    <w:p>
      <w:pPr>
        <w:spacing w:after="160" w:line="300"/>
      </w:pPr>
      <w:r>
        <w:rPr>
          <w:b w:val="false"/>
          <w:bCs w:val="false"/>
          <w:i w:val="false"/>
          <w:iCs w:val="false"/>
          <w:sz w:val="21"/>
          <w:szCs w:val="21"/>
        </w:rPr>
        <w:t xml:space="preserve">SecureSign expone toda su funcionalidad a través de un único punto de entrada (el Gateway); los servicios internos (Documentos, Firma, Identidad, Evidencia, Auditoría, Criptografía) nunca se llaman directamente desde fuera.</w:t>
      </w:r>
    </w:p>
    <w:p>
      <w:pPr>
        <w:pBdr>
          <w:left w:val="single" w:color="1F4E79" w:sz="24" w:space="8"/>
        </w:pBdr>
        <w:shd w:fill="DCE6F1" w:color="auto" w:val="clear"/>
        <w:spacing w:after="200" w:before="100"/>
        <w:ind w:left="120"/>
      </w:pPr>
      <w:r>
        <w:rPr>
          <w:b/>
          <w:bCs/>
          <w:color w:val="1F4E79"/>
          <w:sz w:val="20"/>
          <w:szCs w:val="20"/>
        </w:rPr>
        <w:t xml:space="preserve">Cómo se construyó este manual: </w:t>
      </w:r>
      <w:r>
        <w:rPr>
          <w:color w:val="262626"/>
          <w:sz w:val="20"/>
          <w:szCs w:val="20"/>
        </w:rPr>
        <w:t xml:space="preserve">Este documento se generó auditando el código fuente de los controladores reales (Gateway y cada servicio), no a partir de documentación previa. Donde una funcionalidad todavía no existe, se marca explícitamente como [pendiente] — nunca se presenta como disponible.</w:t>
      </w:r>
    </w:p>
    <w:p>
      <w:pPr>
        <w:pStyle w:val="Heading1"/>
        <w:pBdr>
          <w:bottom w:val="single" w:color="1F4E79" w:sz="6" w:space="4"/>
        </w:pBdr>
        <w:spacing w:after="200" w:before="420"/>
      </w:pPr>
      <w:r>
        <w:rPr>
          <w:b/>
          <w:bCs/>
          <w:color w:val="1F4E79"/>
          <w:sz w:val="28"/>
          <w:szCs w:val="28"/>
        </w:rPr>
        <w:t xml:space="preserve">2. Arquitectura vista desde el integrador</w:t>
      </w:r>
    </w:p>
    <w:p>
      <w:pPr>
        <w:spacing w:after="160" w:line="300"/>
      </w:pPr>
      <w:r>
        <w:rPr>
          <w:b w:val="false"/>
          <w:bCs w:val="false"/>
          <w:i w:val="false"/>
          <w:iCs w:val="false"/>
          <w:sz w:val="21"/>
          <w:szCs w:val="21"/>
        </w:rPr>
        <w:t xml:space="preserve">Desde afuera, la plataforma se ve como una sola URL base (el Gateway) que enruta cada grupo de rutas al servicio correspondiente:</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Sistema externo</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Gateway (única URL pública)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 /api/auth/*        → emisión de tokens (RS256)</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 /api/documentos/*  → Servicio de Documentos</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 /api/firmas/*      → Servicio de Firma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 /api/validacion/*  → validación pública (sin token)</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 /api/validador/*   → validador PAdES independiente (sin token)</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      │  └─ /api/interno/identidad/* → señales de confianza (con token)</w:t>
      </w:r>
    </w:p>
    <w:p>
      <w:pPr>
        <w:spacing w:after="160" w:line="300"/>
      </w:pPr>
      <w:r>
        <w:rPr>
          <w:b w:val="false"/>
          <w:bCs w:val="false"/>
          <w:i w:val="false"/>
          <w:iCs w:val="false"/>
          <w:sz w:val="21"/>
          <w:szCs w:val="21"/>
        </w:rPr>
        <w:t xml:space="preserve">No hay comunicación directa entre el sistema externo y los servicios internos: toda petición pasa por el Gateway, que valida el token y aplica límites de tasa antes de reenviarla.</w:t>
      </w:r>
    </w:p>
    <w:p>
      <w:pPr>
        <w:pStyle w:val="Heading1"/>
        <w:pBdr>
          <w:bottom w:val="single" w:color="1F4E79" w:sz="6" w:space="4"/>
        </w:pBdr>
        <w:spacing w:after="200" w:before="420"/>
      </w:pPr>
      <w:r>
        <w:rPr>
          <w:b/>
          <w:bCs/>
          <w:color w:val="1F4E79"/>
          <w:sz w:val="28"/>
          <w:szCs w:val="28"/>
        </w:rPr>
        <w:t xml:space="preserve">3. Requisitos técnicos</w:t>
      </w:r>
    </w:p>
    <w:p>
      <w:pPr>
        <w:pStyle w:val="ListParagraph"/>
        <w:numPr>
          <w:ilvl w:val="0"/>
          <w:numId w:val="2"/>
        </w:numPr>
        <w:spacing w:after="90"/>
      </w:pPr>
      <w:r>
        <w:rPr>
          <w:b w:val="false"/>
          <w:bCs w:val="false"/>
          <w:sz w:val="20"/>
          <w:szCs w:val="20"/>
        </w:rPr>
        <w:t xml:space="preserve">URL base: la del Gateway del entorno acordado con el operador de SecureSign (por ejemplo http://localhost:8080 en un despliegue Docker local de referencia).</w:t>
      </w:r>
    </w:p>
    <w:p>
      <w:pPr>
        <w:pStyle w:val="ListParagraph"/>
        <w:numPr>
          <w:ilvl w:val="0"/>
          <w:numId w:val="2"/>
        </w:numPr>
        <w:spacing w:after="90"/>
      </w:pPr>
      <w:r>
        <w:rPr>
          <w:b w:val="false"/>
          <w:bCs w:val="false"/>
          <w:sz w:val="20"/>
          <w:szCs w:val="20"/>
        </w:rPr>
        <w:t xml:space="preserve">Sin versionado de rutas: todas las rutas son /api/... directamente — no existe /v1 ni ningún otro prefijo de versión.</w:t>
      </w:r>
    </w:p>
    <w:p>
      <w:pPr>
        <w:pStyle w:val="ListParagraph"/>
        <w:numPr>
          <w:ilvl w:val="0"/>
          <w:numId w:val="2"/>
        </w:numPr>
        <w:spacing w:after="90"/>
      </w:pPr>
      <w:r>
        <w:rPr>
          <w:b w:val="false"/>
          <w:bCs w:val="false"/>
          <w:sz w:val="20"/>
          <w:szCs w:val="20"/>
        </w:rPr>
        <w:t xml:space="preserve">TLS: depende del despliegue. En producción, SecureSign termina TLS delante del Gateway (balanceador o proxy inverso); confirmar con el operador si el entorno de integración ya lo tiene.</w:t>
      </w:r>
    </w:p>
    <w:p>
      <w:pPr>
        <w:pStyle w:val="ListParagraph"/>
        <w:numPr>
          <w:ilvl w:val="0"/>
          <w:numId w:val="2"/>
        </w:numPr>
        <w:spacing w:after="90"/>
      </w:pPr>
      <w:r>
        <w:rPr>
          <w:b w:val="false"/>
          <w:bCs w:val="false"/>
          <w:sz w:val="20"/>
          <w:szCs w:val="20"/>
        </w:rPr>
        <w:t xml:space="preserve">No hay sandbox público ni portal de autoservicio: las credenciales (client_id/client_secret) las asigna el operador de SecureSign por integrador; no hay alta automática.</w:t>
      </w:r>
    </w:p>
    <w:p>
      <w:pPr>
        <w:pStyle w:val="ListParagraph"/>
        <w:numPr>
          <w:ilvl w:val="0"/>
          <w:numId w:val="2"/>
        </w:numPr>
        <w:spacing w:after="90"/>
      </w:pPr>
      <w:r>
        <w:rPr>
          <w:b w:val="false"/>
          <w:bCs w:val="false"/>
          <w:i w:val="false"/>
          <w:iCs w:val="false"/>
          <w:sz w:val="20"/>
          <w:szCs w:val="20"/>
        </w:rPr>
      </w:r>
      <w:r>
        <w:rPr>
          <w:b w:val="false"/>
          <w:bCs w:val="false"/>
          <w:i/>
          <w:iCs/>
          <w:sz w:val="20"/>
          <w:szCs w:val="20"/>
        </w:rPr>
        <w:t xml:space="preserve">form-urlencoded</w:t>
      </w:r>
      <w:r>
        <w:rPr>
          <w:b w:val="false"/>
          <w:bCs w:val="false"/>
          <w:i w:val="false"/>
          <w:iCs w:val="false"/>
          <w:sz w:val="20"/>
          <w:szCs w:val="20"/>
        </w:rPr>
      </w:r>
      <w:r>
        <w:rPr>
          <w:b w:val="false"/>
          <w:bCs w:val="false"/>
          <w:i/>
          <w:iCs/>
          <w:sz w:val="20"/>
          <w:szCs w:val="20"/>
        </w:rPr>
        <w:t xml:space="preserve">multipart/form-data</w:t>
      </w:r>
      <w:r>
        <w:rPr>
          <w:b w:val="false"/>
          <w:bCs w:val="false"/>
          <w:i w:val="false"/>
          <w:iCs w:val="false"/>
          <w:sz w:val="20"/>
          <w:szCs w:val="20"/>
        </w:rPr>
      </w:r>
      <w:r>
        <w:rPr>
          <w:b w:val="false"/>
          <w:bCs w:val="false"/>
          <w:i/>
          <w:iCs/>
          <w:sz w:val="20"/>
          <w:szCs w:val="20"/>
        </w:rPr>
        <w:t xml:space="preserve">JSON</w:t>
      </w:r>
      <w:r>
        <w:rPr>
          <w:b w:val="false"/>
          <w:bCs w:val="false"/>
          <w:i w:val="false"/>
          <w:iCs w:val="false"/>
          <w:sz w:val="20"/>
          <w:szCs w:val="20"/>
        </w:rPr>
      </w:r>
    </w:p>
    <w:p>
      <w:pPr>
        <w:pStyle w:val="Heading1"/>
        <w:pBdr>
          <w:bottom w:val="single" w:color="1F4E79" w:sz="6" w:space="4"/>
        </w:pBdr>
        <w:spacing w:after="200" w:before="420"/>
      </w:pPr>
      <w:r>
        <w:rPr>
          <w:b/>
          <w:bCs/>
          <w:color w:val="1F4E79"/>
          <w:sz w:val="28"/>
          <w:szCs w:val="28"/>
        </w:rPr>
        <w:t xml:space="preserve">4. Autenticación</w:t>
      </w:r>
    </w:p>
    <w:p>
      <w:pPr>
        <w:pStyle w:val="Heading2"/>
        <w:spacing w:after="120" w:before="280"/>
      </w:pPr>
      <w:r>
        <w:rPr>
          <w:b/>
          <w:bCs/>
          <w:color w:val="1F4E79"/>
          <w:sz w:val="23"/>
          <w:szCs w:val="23"/>
        </w:rPr>
        <w:t xml:space="preserve">4.1 OAuth2 Client Credentials (único flujo soportado)</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/api/auth/token</w:t>
      </w:r>
      <w:r>
        <w:rPr>
          <w:i/>
          <w:iCs/>
          <w:color w:val="595959"/>
          <w:sz w:val="17"/>
          <w:szCs w:val="17"/>
        </w:rPr>
        <w:t xml:space="preserve"/>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Content-Type: application/x-www-form-urlencoded</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grant_type=client_credentials&amp;client_id={ClientId}&amp;client_secret={ClientSecret}</w:t>
      </w:r>
    </w:p>
    <w:p>
      <w:pPr>
        <w:spacing w:after="160" w:line="300"/>
      </w:pPr>
      <w:r>
        <w:rPr>
          <w:b w:val="false"/>
          <w:bCs w:val="false"/>
          <w:i w:val="false"/>
          <w:iCs w:val="false"/>
          <w:sz w:val="21"/>
          <w:szCs w:val="21"/>
        </w:rPr>
        <w:t xml:space="preserve">Respuesta 200 OK:</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"access_token": "eyJhbGciOiJSUzI1NiIsImtpZCI6...",</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"token_type": "Bearer",</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"expires_in": 3600,</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"scope": "documentos.crear documentos.leer firmas.crear firmas.leer evidencias.leer identidad.gestionar"</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w:t>
      </w:r>
    </w:p>
    <w:p>
      <w:pPr>
        <w:spacing w:after="160" w:line="300"/>
      </w:pPr>
      <w:r>
        <w:rPr>
          <w:b w:val="false"/>
          <w:bCs w:val="false"/>
          <w:i w:val="false"/>
          <w:iCs w:val="false"/>
          <w:sz w:val="21"/>
          <w:szCs w:val="21"/>
        </w:rPr>
        <w:t xml:space="preserve">El client_id y el client_secret los asigna el operador de SecureSign por integrador (catálogo de clientes en la configuración del Gateway). No hay autoservicio de alta ni rotación automática hoy — la rotación del secreto es un procedimiento operativo del lado de SecureSign.</w:t>
      </w:r>
    </w:p>
    <w:p>
      <w:pPr>
        <w:pStyle w:val="Heading2"/>
        <w:spacing w:after="120" w:before="280"/>
      </w:pPr>
      <w:r>
        <w:rPr>
          <w:b/>
          <w:bCs/>
          <w:color w:val="1F4E79"/>
          <w:sz w:val="23"/>
          <w:szCs w:val="23"/>
        </w:rPr>
        <w:t xml:space="preserve">4.2 El token (JWT)</w:t>
      </w:r>
    </w:p>
    <w:p>
      <w:pPr>
        <w:spacing w:after="160" w:line="300"/>
      </w:pPr>
      <w:r>
        <w:rPr>
          <w:b w:val="false"/>
          <w:bCs w:val="false"/>
          <w:i w:val="false"/>
          <w:iCs w:val="false"/>
          <w:sz w:val="21"/>
          <w:szCs w:val="21"/>
        </w:rPr>
        <w:t xml:space="preserve">El access_token es un JWT firmado con RS256 por el Gateway — el único componente de la plataforma con la llave privada de firma. Todos los endpoints de negocio requieren la cabecera:</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Authorization: Bearer {access_token}</w:t>
      </w:r>
    </w:p>
    <w:p>
      <w:pPr>
        <w:spacing w:after="160" w:line="300"/>
      </w:pPr>
      <w:r>
        <w:rPr>
          <w:b w:val="false"/>
          <w:bCs w:val="false"/>
          <w:i w:val="false"/>
          <w:iCs w:val="false"/>
          <w:sz w:val="21"/>
          <w:szCs w:val="21"/>
        </w:rPr>
        <w:t xml:space="preserve">El sistema integrador no necesita validar la firma del token ni conocer la llave pública: solo reenviarlo tal cual en cada petición.</w:t>
      </w:r>
    </w:p>
    <w:p>
      <w:pPr>
        <w:pBdr>
          <w:left w:val="single" w:color="B00020" w:sz="24" w:space="8"/>
        </w:pBdr>
        <w:shd w:fill="FBE9E7" w:color="auto" w:val="clear"/>
        <w:spacing w:after="200" w:before="100"/>
        <w:ind w:left="120"/>
      </w:pPr>
      <w:r>
        <w:rPr>
          <w:b/>
          <w:bCs/>
          <w:color w:val="B00020"/>
          <w:sz w:val="20"/>
          <w:szCs w:val="20"/>
        </w:rPr>
        <w:t xml:space="preserve">Seguridad: </w:t>
      </w:r>
      <w:r>
        <w:rPr>
          <w:color w:val="262626"/>
          <w:sz w:val="20"/>
          <w:szCs w:val="20"/>
        </w:rPr>
        <w:t xml:space="preserve">Nunca exponer el client_secret en código de frontend o de una app móvil. La autenticación OAuth2 debe ejecutarse siempre desde el backend del sistema integrador — un client_secret filtrado permite emitir tokens con los scopes concedidos a ese integrador hasta que se rote.</w:t>
      </w:r>
    </w:p>
    <w:p>
      <w:pPr>
        <w:pStyle w:val="Heading2"/>
        <w:spacing w:after="120" w:before="280"/>
      </w:pPr>
      <w:r>
        <w:rPr>
          <w:b/>
          <w:bCs/>
          <w:color w:val="1F4E79"/>
          <w:sz w:val="23"/>
          <w:szCs w:val="23"/>
        </w:rPr>
        <w:t xml:space="preserve">4.3 Límite de tasa del endpoint de token</w:t>
      </w:r>
    </w:p>
    <w:p>
      <w:pPr>
        <w:spacing w:after="160" w:line="300"/>
      </w:pPr>
      <w:r>
        <w:rPr>
          <w:b w:val="false"/>
          <w:bCs w:val="false"/>
          <w:i w:val="false"/>
          <w:iCs w:val="false"/>
          <w:sz w:val="21"/>
          <w:szCs w:val="21"/>
        </w:rPr>
        <w:t xml:space="preserve">Por diseño (contra adivinación del client_secret y agotamiento de recursos, ya que cada intento verifica un hash Argon2id deliberadamente costoso), el Gateway limita este endpoint a 10 peticiones por minuto por dirección IP de origen. Al superarlo:</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HTTP/1.1 429 Too Many Requests</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Retry-After: 60</w:t>
      </w:r>
    </w:p>
    <w:p>
      <w:pPr>
        <w:spacing w:after="160" w:line="300"/>
      </w:pPr>
      <w:r>
        <w:rPr>
          <w:b w:val="false"/>
          <w:bCs w:val="false"/>
          <w:i w:val="false"/>
          <w:iCs w:val="false"/>
          <w:sz w:val="21"/>
          <w:szCs w:val="21"/>
        </w:rPr>
        <w:t xml:space="preserve">Un integrador legítimo pide un token una vez y lo reutiliza hasta que expira (ver buena práctica en la sección 9) — este límite no debería afectar un uso normal. Si varios servidores del sistema integrador comparten una sola IP saliente (NAT, un solo servidor de aplicación), tenerlo en cuenta al dimensionar cuántas instancias piden token de forma independiente.</w:t>
      </w:r>
    </w:p>
    <w:p>
      <w:pPr>
        <w:pStyle w:val="Heading1"/>
        <w:pBdr>
          <w:bottom w:val="single" w:color="1F4E79" w:sz="6" w:space="4"/>
        </w:pBdr>
        <w:spacing w:after="200" w:before="420"/>
      </w:pPr>
      <w:r>
        <w:rPr>
          <w:b/>
          <w:bCs/>
          <w:color w:val="1F4E79"/>
          <w:sz w:val="28"/>
          <w:szCs w:val="28"/>
        </w:rPr>
        <w:t xml:space="preserve">5. Flujo completo de integración</w:t>
      </w:r>
    </w:p>
    <w:p>
      <w:pPr>
        <w:spacing w:after="160" w:line="300"/>
      </w:pPr>
      <w:r>
        <w:rPr>
          <w:b w:val="false"/>
          <w:bCs w:val="false"/>
          <w:i w:val="false"/>
          <w:iCs w:val="false"/>
          <w:sz w:val="21"/>
          <w:szCs w:val="21"/>
        </w:rPr>
        <w:t xml:space="preserve">Flujo real de punta a punta para firmar un documento con un firmante que ya existe en SecureSign:</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1.  POST /api/auth/token                                          → access_token</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2.  POST /api/documentos (multipart)                              → idDocumento, hashDocumento</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3.  POST /api/firmas/solicitudes                                  → solicitudFirmaId, urlFirma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4.  GET  /api/firmas/{id}/estado                                  → flujoFirmaId de cada firmante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5.  POST /api/firmas/{id}/flujos/{flujoId}/visualizar             → registra evidencia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6.  POST /api/interno/identidad/{usuarioId}/senales               → sube el índice de confianza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7.  POST /api/firmas/{id}/flujos/{flujoId}/firmar                 → ejecuta la firma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8.  GET  /api/documentos/{id}/firmado                            → PDF firmado (PAdES real)</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9.  GET  /api/validacion/{codigo}                                 → verificación pública (sin token)</w:t>
      </w:r>
    </w:p>
    <w:p>
      <w:pPr>
        <w:pBdr>
          <w:left w:val="single" w:color="1F4E79" w:sz="24" w:space="8"/>
        </w:pBdr>
        <w:shd w:fill="DCE6F1" w:color="auto" w:val="clear"/>
        <w:spacing w:after="200" w:before="100"/>
        <w:ind w:left="120"/>
      </w:pPr>
      <w:r>
        <w:rPr>
          <w:b/>
          <w:bCs/>
          <w:color w:val="1F4E79"/>
          <w:sz w:val="20"/>
          <w:szCs w:val="20"/>
        </w:rPr>
        <w:t xml:space="preserve">Importante: </w:t>
      </w:r>
      <w:r>
        <w:rPr>
          <w:color w:val="262626"/>
          <w:sz w:val="20"/>
          <w:szCs w:val="20"/>
        </w:rPr>
        <w:t xml:space="preserve">No hay webhooks salientes [pendiente]. El sistema integrador debe hacer polling de GET /api/firmas/{id}/estado para saber cuándo una solicitud pasó a Firmado, Rechazado o Expirado.</w:t>
      </w:r>
    </w:p>
    <w:p>
      <w:pPr>
        <w:pBdr>
          <w:left w:val="single" w:color="1F4E79" w:sz="24" w:space="8"/>
        </w:pBdr>
        <w:shd w:fill="DCE6F1" w:color="auto" w:val="clear"/>
        <w:spacing w:after="200" w:before="100"/>
        <w:ind w:left="120"/>
      </w:pPr>
      <w:r>
        <w:rPr>
          <w:b/>
          <w:bCs/>
          <w:color w:val="1F4E79"/>
          <w:sz w:val="20"/>
          <w:szCs w:val="20"/>
        </w:rPr>
        <w:t xml:space="preserve">Nota: </w:t>
      </w:r>
      <w:r>
        <w:rPr>
          <w:color w:val="262626"/>
          <w:sz w:val="20"/>
          <w:szCs w:val="20"/>
        </w:rPr>
        <w:t xml:space="preserve">El paso 6 (señal de confianza) es indispensable para TipoFirma "Avanzada" o superior: sin él, un firmante nuevo no alcanza el índice mínimo y el paso 7 falla con 400. En un despliegue de producción real esta señal la dispara el propio proceso de validación de identidad del operador (OTP, biometría, validación de certificado) — se documenta aquí como la llamada que ese proceso debe hacer, no como un paso manual del integrador.</w:t>
      </w:r>
    </w:p>
    <w:p>
      <w:pPr>
        <w:pStyle w:val="Heading1"/>
        <w:pBdr>
          <w:bottom w:val="single" w:color="1F4E79" w:sz="6" w:space="4"/>
        </w:pBdr>
        <w:spacing w:after="200" w:before="420"/>
      </w:pPr>
      <w:r>
        <w:rPr>
          <w:b/>
          <w:bCs/>
          <w:color w:val="1F4E79"/>
          <w:sz w:val="28"/>
          <w:szCs w:val="28"/>
        </w:rPr>
        <w:t xml:space="preserve">6. Catálogo de endpoints</w:t>
      </w:r>
    </w:p>
    <w:p>
      <w:pPr>
        <w:pStyle w:val="Heading2"/>
        <w:spacing w:after="120" w:before="280"/>
      </w:pPr>
      <w:r>
        <w:rPr>
          <w:b/>
          <w:bCs/>
          <w:color w:val="1F4E79"/>
          <w:sz w:val="23"/>
          <w:szCs w:val="23"/>
        </w:rPr>
        <w:t xml:space="preserve">6.1 Documentos</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/api/documentos</w:t>
      </w:r>
      <w:r>
        <w:rPr>
          <w:i/>
          <w:iCs/>
          <w:color w:val="595959"/>
          <w:sz w:val="17"/>
          <w:szCs w:val="17"/>
        </w:rPr>
        <w:t xml:space="preserve">   [scope: documentos.crear]</w:t>
      </w:r>
    </w:p>
    <w:p>
      <w:pPr>
        <w:spacing w:after="160" w:line="300"/>
      </w:pPr>
      <w:r>
        <w:rPr>
          <w:b w:val="false"/>
          <w:bCs w:val="false"/>
          <w:i w:val="false"/>
          <w:iCs w:val="false"/>
          <w:sz w:val="21"/>
          <w:szCs w:val="21"/>
        </w:rPr>
        <w:t xml:space="preserve">multipart/form-data — campos: archivo (el binario), codigoExterno (opcional, para correlacionar con el sistema propio), usuarioSolicitanteId (GUID).</w:t>
      </w:r>
    </w:p>
    <w:p>
      <w:pPr>
        <w:spacing w:after="160" w:line="300"/>
      </w:pPr>
      <w:r>
        <w:rPr>
          <w:b w:val="false"/>
          <w:bCs w:val="false"/>
          <w:i w:val="false"/>
          <w:iCs w:val="false"/>
          <w:sz w:val="21"/>
          <w:szCs w:val="21"/>
        </w:rPr>
        <w:t xml:space="preserve">Respuesta 201 Created:</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"idDocumento": "b3f1...", "hashDocumento": "a94a8fe5...", "estado": "Registrado" }</w:t>
      </w:r>
    </w:p>
    <w:p>
      <w:pPr>
        <w:pBdr>
          <w:left w:val="single" w:color="1F4E79" w:sz="24" w:space="8"/>
        </w:pBdr>
        <w:shd w:fill="DCE6F1" w:color="auto" w:val="clear"/>
        <w:spacing w:after="200" w:before="100"/>
        <w:ind w:left="120"/>
      </w:pPr>
      <w:r>
        <w:rPr>
          <w:b/>
          <w:bCs/>
          <w:color w:val="1F4E79"/>
          <w:sz w:val="20"/>
          <w:szCs w:val="20"/>
        </w:rPr>
        <w:t xml:space="preserve">Nota: </w:t>
      </w:r>
      <w:r>
        <w:rPr>
          <w:color w:val="262626"/>
          <w:sz w:val="20"/>
          <w:szCs w:val="20"/>
        </w:rPr>
        <w:t xml:space="preserve">No existe un campo metadata: cualquier dato propio del integrador se guarda en su propio sistema, correlacionado por codigoExterno o idDocumento — SecureSign no almacena metadatos arbitrarios del integrador.</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/api/documentos/{id}</w:t>
      </w:r>
      <w:r>
        <w:rPr>
          <w:i/>
          <w:iCs/>
          <w:color w:val="595959"/>
          <w:sz w:val="17"/>
          <w:szCs w:val="17"/>
        </w:rPr>
        <w:t xml:space="preserve">   [scope: documentos.leer]</w:t>
      </w:r>
    </w:p>
    <w:p>
      <w:pPr>
        <w:spacing w:after="160" w:line="300"/>
      </w:pPr>
      <w:r>
        <w:rPr>
          <w:b w:val="false"/>
          <w:bCs w:val="false"/>
          <w:i w:val="false"/>
          <w:iCs w:val="false"/>
          <w:sz w:val="21"/>
          <w:szCs w:val="21"/>
        </w:rPr>
        <w:t xml:space="preserve">Metadata del documento (estado, hash vigente, tipo de contenido).</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/api/documentos/{id}/contenido</w:t>
      </w:r>
      <w:r>
        <w:rPr>
          <w:i/>
          <w:iCs/>
          <w:color w:val="595959"/>
          <w:sz w:val="17"/>
          <w:szCs w:val="17"/>
        </w:rPr>
        <w:t xml:space="preserve">   [scope: documentos.leer]</w:t>
      </w:r>
    </w:p>
    <w:p>
      <w:pPr>
        <w:spacing w:after="160" w:line="300"/>
      </w:pPr>
      <w:r>
        <w:rPr>
          <w:b w:val="false"/>
          <w:bCs w:val="false"/>
          <w:i w:val="false"/>
          <w:iCs w:val="false"/>
          <w:sz w:val="21"/>
          <w:szCs w:val="21"/>
        </w:rPr>
        <w:t xml:space="preserve">El archivo original, sin firmar.</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/api/documentos/{id}/firmado</w:t>
      </w:r>
      <w:r>
        <w:rPr>
          <w:i/>
          <w:iCs/>
          <w:color w:val="595959"/>
          <w:sz w:val="17"/>
          <w:szCs w:val="17"/>
        </w:rPr>
        <w:t xml:space="preserve">   [scope: documentos.leer]</w:t>
      </w:r>
    </w:p>
    <w:p>
      <w:pPr>
        <w:spacing w:after="160" w:line="300"/>
      </w:pPr>
      <w:r>
        <w:rPr>
          <w:b w:val="false"/>
          <w:bCs w:val="false"/>
          <w:i w:val="false"/>
          <w:iCs w:val="false"/>
          <w:sz w:val="21"/>
          <w:szCs w:val="21"/>
        </w:rPr>
        <w:t xml:space="preserve">El PDF firmado, con PAdES real incrustado (firma CMS + /ByteRange, verificable con cualquier lector PAdES estándar, no solo con SecureSign). La respuesta incluye las cabeceras X-Hash-Documento y X-Evidencia-Url (esta última apunta a /api/evidencias/documento/{tenantId}/{id}).</w:t>
      </w:r>
    </w:p>
    <w:p>
      <w:pPr>
        <w:pBdr>
          <w:left w:val="single" w:color="9C5700" w:sz="24" w:space="8"/>
        </w:pBdr>
        <w:shd w:fill="FFF2CC" w:color="auto" w:val="clear"/>
        <w:spacing w:after="200" w:before="100"/>
        <w:ind w:left="120"/>
      </w:pPr>
      <w:r>
        <w:rPr>
          <w:b/>
          <w:bCs/>
          <w:color w:val="9C5700"/>
          <w:sz w:val="20"/>
          <w:szCs w:val="20"/>
        </w:rPr>
        <w:t xml:space="preserve">No usar directamente: </w:t>
      </w:r>
      <w:r>
        <w:rPr>
          <w:color w:val="262626"/>
          <w:sz w:val="20"/>
          <w:szCs w:val="20"/>
        </w:rPr>
        <w:t xml:space="preserve">POST /api/documentos/{id}/marcar-firmado y PUT /api/documentos/{id}/firmado-pades existen en la API pero son de USO INTERNO EXCLUSIVO del Servicio de Firma — no deben llamarse desde un sistema integrador.</w:t>
      </w:r>
    </w:p>
    <w:p>
      <w:pPr>
        <w:pStyle w:val="Heading2"/>
        <w:spacing w:after="120" w:before="280"/>
      </w:pPr>
      <w:r>
        <w:rPr>
          <w:b/>
          <w:bCs/>
          <w:color w:val="1F4E79"/>
          <w:sz w:val="23"/>
          <w:szCs w:val="23"/>
        </w:rPr>
        <w:t xml:space="preserve">6.2 Solicitudes de firma</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/api/firmas/solicitudes</w:t>
      </w:r>
      <w:r>
        <w:rPr>
          <w:i/>
          <w:iCs/>
          <w:color w:val="595959"/>
          <w:sz w:val="17"/>
          <w:szCs w:val="17"/>
        </w:rPr>
        <w:t xml:space="preserve">   [scope: firmas.crear]</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"documentoId": "b3f1...",</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"tipoFirma": "Avanzada",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"requiereOrdenSecuencial": false,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"firmantes": [ { "usuarioId": "4444...", "orden": 1 } ],</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"fechaLimite": null</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w:t>
      </w:r>
    </w:p>
    <w:p>
      <w:pPr>
        <w:spacing w:after="160" w:line="300"/>
      </w:pPr>
      <w:r>
        <w:rPr>
          <w:b w:val="false"/>
          <w:bCs w:val="false"/>
          <w:i w:val="false"/>
          <w:iCs w:val="false"/>
          <w:sz w:val="21"/>
          <w:szCs w:val="21"/>
        </w:rPr>
        <w:t xml:space="preserve">tipoFirma acepta Simple, Avanzada o Digital — cada una exige un índice de confianza mínimo distinto (ver sección 5, paso 6). firmantes referencia usuarios que ya existen en SecureSign por usuarioId (GUID): esta llamada no envía nombre, documento de identidad ni correo — esos datos, si SecureSign los necesita, se resuelven por usuarioId en el Servicio de Identidad.</w:t>
      </w:r>
    </w:p>
    <w:p>
      <w:pPr>
        <w:spacing w:after="160" w:line="300"/>
      </w:pPr>
      <w:r>
        <w:rPr>
          <w:b w:val="false"/>
          <w:bCs w:val="false"/>
          <w:i w:val="false"/>
          <w:iCs w:val="false"/>
          <w:sz w:val="21"/>
          <w:szCs w:val="21"/>
        </w:rPr>
        <w:t xml:space="preserve">Respuesta 201 Created:</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"solicitudFirmaId": "9c2e...", "codigoVerificacionPublico": "K3PQ7X2A1F", "urlFirma": "https://firma.securesign.pe/t/.../f/..." }</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/api/firmas/{id}/estado</w:t>
      </w:r>
      <w:r>
        <w:rPr>
          <w:i/>
          <w:iCs/>
          <w:color w:val="595959"/>
          <w:sz w:val="17"/>
          <w:szCs w:val="17"/>
        </w:rPr>
        <w:t xml:space="preserve">   [scope: firmas.leer]</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"solicitudFirmaId": "9c2e...", "documentoId": "b3f1...", "estado": "Firmado",</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"codigoVerificacionPublico": "K3PQ7X2A1F",</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"firmantes": [ { "flujoFirmaId": "a1b2...", "firmanteUsuarioId": "4444...", "orden": 1, "estado": "Firmado" } ]</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w:t>
      </w:r>
    </w:p>
    <w:p>
      <w:pPr>
        <w:spacing w:after="160" w:line="300"/>
      </w:pPr>
      <w:r>
        <w:rPr>
          <w:b w:val="false"/>
          <w:bCs w:val="false"/>
          <w:i w:val="false"/>
          <w:iCs w:val="false"/>
          <w:sz w:val="21"/>
          <w:szCs w:val="21"/>
        </w:rPr>
        <w:t xml:space="preserve">Valores posibles de estado (de la solicitud y de cada firmante): Pendiente, Visualizado, ValidandoIdentidad, Firmado, Rechazado, Cancelado, Expirado. Ningún firmante trae nombre — el Servicio de Firma solo almacena el usuarioId.</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/api/firmas/pendientes/{firmanteId}</w:t>
      </w:r>
      <w:r>
        <w:rPr>
          <w:i/>
          <w:iCs/>
          <w:color w:val="595959"/>
          <w:sz w:val="17"/>
          <w:szCs w:val="17"/>
        </w:rPr>
        <w:t xml:space="preserve">   [scope: firmas.leer]</w:t>
      </w:r>
    </w:p>
    <w:p>
      <w:pPr>
        <w:spacing w:after="160" w:line="300"/>
      </w:pPr>
      <w:r>
        <w:rPr>
          <w:b w:val="false"/>
          <w:bCs w:val="false"/>
          <w:i w:val="false"/>
          <w:iCs w:val="false"/>
          <w:sz w:val="21"/>
          <w:szCs w:val="21"/>
        </w:rPr>
        <w:t xml:space="preserve">Solicitudes pendientes de firma de un firmante — útil para construir una bandeja de pendientes en el sistema propio.</w:t>
      </w:r>
    </w:p>
    <w:p>
      <w:pPr>
        <w:pStyle w:val="Heading2"/>
        <w:spacing w:after="120" w:before="280"/>
      </w:pPr>
      <w:r>
        <w:rPr>
          <w:b/>
          <w:bCs/>
          <w:color w:val="1F4E79"/>
          <w:sz w:val="23"/>
          <w:szCs w:val="23"/>
        </w:rPr>
        <w:t xml:space="preserve">6.3 El firmante interactúa con la solicitud</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/api/firmas/{id}/flujos/{flujoId}/visualizar</w:t>
      </w:r>
      <w:r>
        <w:rPr>
          <w:i/>
          <w:iCs/>
          <w:color w:val="595959"/>
          <w:sz w:val="17"/>
          <w:szCs w:val="17"/>
        </w:rPr>
        <w:t xml:space="preserve">   [scope: firmas.crear]</w:t>
      </w:r>
    </w:p>
    <w:p>
      <w:pPr>
        <w:spacing w:after="160" w:line="300"/>
      </w:pPr>
      <w:r>
        <w:rPr>
          <w:b w:val="false"/>
          <w:bCs w:val="false"/>
          <w:i w:val="false"/>
          <w:iCs w:val="false"/>
          <w:sz w:val="21"/>
          <w:szCs w:val="21"/>
        </w:rPr>
        <w:t xml:space="preserve">Sin cuerpo. Registra evidencia de tipo Visualizacion. flujoFirmaId sale de la respuesta de GET .../estado.</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/api/firmas/{id}/flujos/{flujoId}/posicion</w:t>
      </w:r>
      <w:r>
        <w:rPr>
          <w:i/>
          <w:iCs/>
          <w:color w:val="595959"/>
          <w:sz w:val="17"/>
          <w:szCs w:val="17"/>
        </w:rPr>
        <w:t xml:space="preserve">   [scope: firmas.crear]</w:t>
      </w:r>
    </w:p>
    <w:p>
      <w:pPr>
        <w:spacing w:after="160" w:line="300"/>
      </w:pPr>
      <w:r>
        <w:rPr>
          <w:b w:val="false"/>
          <w:bCs w:val="false"/>
          <w:i w:val="false"/>
          <w:iCs w:val="false"/>
          <w:sz w:val="21"/>
          <w:szCs w:val="21"/>
        </w:rPr>
        <w:t xml:space="preserve">Opcional, solo para PDF con firma visible en el documento:</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"numeroPagina": 1, "x": 0.7, "y": 0.85, "ancho": 0.2, "alto": 0.08 }</w:t>
      </w:r>
    </w:p>
    <w:p>
      <w:pPr>
        <w:spacing w:after="160" w:line="300"/>
      </w:pPr>
      <w:r>
        <w:rPr>
          <w:b w:val="false"/>
          <w:bCs w:val="false"/>
          <w:i w:val="false"/>
          <w:iCs w:val="false"/>
          <w:sz w:val="21"/>
          <w:szCs w:val="21"/>
        </w:rPr>
        <w:t xml:space="preserve">Coordenadas normalizadas (0 a 1), origen arriba-izquierda.</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/api/firmas/{id}/documento-visual</w:t>
      </w:r>
      <w:r>
        <w:rPr>
          <w:i/>
          <w:iCs/>
          <w:color w:val="595959"/>
          <w:sz w:val="17"/>
          <w:szCs w:val="17"/>
        </w:rPr>
        <w:t xml:space="preserve">   [scope: firmas.leer]</w:t>
      </w:r>
    </w:p>
    <w:p>
      <w:pPr>
        <w:spacing w:after="160" w:line="300"/>
      </w:pPr>
      <w:r>
        <w:rPr>
          <w:b w:val="false"/>
          <w:bCs w:val="false"/>
          <w:i w:val="false"/>
          <w:iCs w:val="false"/>
          <w:sz w:val="21"/>
          <w:szCs w:val="21"/>
        </w:rPr>
        <w:t xml:space="preserve">Vista previa del documento para que el firmante elija dónde colocar su firma visible, antes de llamar al endpoint de posición.</w:t>
      </w:r>
    </w:p>
    <w:p>
      <w:pPr>
        <w:pStyle w:val="Heading2"/>
        <w:spacing w:after="120" w:before="280"/>
      </w:pPr>
      <w:r>
        <w:rPr>
          <w:b/>
          <w:bCs/>
          <w:color w:val="1F4E79"/>
          <w:sz w:val="23"/>
          <w:szCs w:val="23"/>
        </w:rPr>
        <w:t xml:space="preserve">6.4 Firmar</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/api/firmas/{id}/flujos/{flujoId}/firmar</w:t>
      </w:r>
      <w:r>
        <w:rPr>
          <w:i/>
          <w:iCs/>
          <w:color w:val="595959"/>
          <w:sz w:val="17"/>
          <w:szCs w:val="17"/>
        </w:rPr>
        <w:t xml:space="preserve">   [scope: firmas.crear]</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"pin": null }</w:t>
      </w:r>
    </w:p>
    <w:p>
      <w:pPr>
        <w:spacing w:after="160" w:line="300"/>
      </w:pPr>
      <w:r>
        <w:rPr>
          <w:b w:val="false"/>
          <w:bCs w:val="false"/>
          <w:i w:val="false"/>
          <w:iCs w:val="false"/>
          <w:sz w:val="21"/>
          <w:szCs w:val="21"/>
        </w:rPr>
        <w:t xml:space="preserve">pin solo hace falta si el Servicio Criptográfico configurado usa un proveedor PKCS#11 real (token/tarjeta física); con el proveedor de software se ignora. El PIN nunca se persiste ni se registra en ningún log.</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/api/firmas/lotes/firmar</w:t>
      </w:r>
      <w:r>
        <w:rPr>
          <w:i/>
          <w:iCs/>
          <w:color w:val="595959"/>
          <w:sz w:val="17"/>
          <w:szCs w:val="17"/>
        </w:rPr>
        <w:t xml:space="preserve">   [scope: firmas.crear]</w:t>
      </w:r>
    </w:p>
    <w:p>
      <w:pPr>
        <w:spacing w:after="160" w:line="300"/>
      </w:pPr>
      <w:r>
        <w:rPr>
          <w:b w:val="false"/>
          <w:bCs w:val="false"/>
          <w:i w:val="false"/>
          <w:iCs w:val="false"/>
          <w:sz w:val="21"/>
          <w:szCs w:val="21"/>
        </w:rPr>
        <w:t xml:space="preserve">Firma varias operaciones del mismo firmante con un solo PIN — modo masivo para cuando una persona debe firmar muchos documentos en una sesión.</w:t>
      </w:r>
    </w:p>
    <w:p>
      <w:pPr>
        <w:pStyle w:val="Heading3"/>
        <w:spacing w:after="100" w:before="200"/>
      </w:pPr>
      <w:r>
        <w:rPr>
          <w:b/>
          <w:bCs/>
          <w:color w:val="262626"/>
          <w:sz w:val="21"/>
          <w:szCs w:val="21"/>
        </w:rPr>
        <w:t xml:space="preserve">Flujo alternativo: Firmador Local (la clave privada nunca sale de la máquina del firmante)</w:t>
      </w:r>
    </w:p>
    <w:p>
      <w:pPr>
        <w:spacing w:after="160" w:line="300"/>
      </w:pPr>
      <w:r>
        <w:rPr>
          <w:b w:val="false"/>
          <w:bCs w:val="false"/>
          <w:i w:val="false"/>
          <w:iCs w:val="false"/>
          <w:sz w:val="21"/>
          <w:szCs w:val="21"/>
        </w:rPr>
        <w:t xml:space="preserve">Cuando el firmante usa su propio DNIe u otro token conectado a su computadora (no un proveedor criptográfico central), el flujo cambia:</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/api/firmas/{id}/flujos/{flujoId}/ticket-firmador-local</w:t>
      </w:r>
      <w:r>
        <w:rPr>
          <w:i/>
          <w:iCs/>
          <w:color w:val="595959"/>
          <w:sz w:val="17"/>
          <w:szCs w:val="17"/>
        </w:rPr>
        <w:t xml:space="preserve">   [scope: firmas.crear]</w:t>
      </w:r>
    </w:p>
    <w:p>
      <w:pPr>
        <w:spacing w:after="160" w:line="300"/>
      </w:pPr>
      <w:r>
        <w:rPr>
          <w:b w:val="false"/>
          <w:bCs w:val="false"/>
          <w:i w:val="false"/>
          <w:iCs w:val="false"/>
          <w:sz w:val="21"/>
          <w:szCs w:val="21"/>
        </w:rPr>
        <w:t xml:space="preserve">Emite un ticket de un solo uso, válido 2 minutos, ligado exactamente a esa solicitud/flujo/documento y al hash vigente del documento — este ticket es lo que el navegador del firmante entrega al Firmador Local instalado en su equipo (ver el manual de usuario del Firmador Local).</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/api/firmas/{id}/flujos/{flujoId}/completar-firma-local</w:t>
      </w:r>
      <w:r>
        <w:rPr>
          <w:i/>
          <w:iCs/>
          <w:color w:val="595959"/>
          <w:sz w:val="17"/>
          <w:szCs w:val="17"/>
        </w:rPr>
        <w:t xml:space="preserve">   [scope: firmas.crear]</w:t>
      </w:r>
    </w:p>
    <w:p>
      <w:pPr>
        <w:spacing w:after="160" w:line="300"/>
      </w:pPr>
      <w:r>
        <w:rPr>
          <w:b w:val="false"/>
          <w:bCs w:val="false"/>
          <w:i w:val="false"/>
          <w:iCs w:val="false"/>
          <w:sz w:val="21"/>
          <w:szCs w:val="21"/>
        </w:rPr>
        <w:t xml:space="preserve">El Firmador Local calcula la firma en la máquina del firmante y el sistema integrador (o el propio Firmador Local, según cómo se integre el flujo del navegador) reenvía el resultado a este endpoint para completarlo. El backend recalcula el hash del documento y verifica matemáticamente la firma antes de aceptarla — nunca confía en un hash que le llegue de fuera.</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/api/firmas/{id}/flujos/{flujoId}/rechazar</w:t>
      </w:r>
      <w:r>
        <w:rPr>
          <w:i/>
          <w:iCs/>
          <w:color w:val="595959"/>
          <w:sz w:val="17"/>
          <w:szCs w:val="17"/>
        </w:rPr>
        <w:t xml:space="preserve">   [scope: firmas.crear]</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"motivo": "Documento con datos incorrectos" }</w:t>
      </w:r>
    </w:p>
    <w:p>
      <w:pPr>
        <w:pStyle w:val="Heading2"/>
        <w:spacing w:after="120" w:before="280"/>
      </w:pPr>
      <w:r>
        <w:rPr>
          <w:b/>
          <w:bCs/>
          <w:color w:val="1F4E79"/>
          <w:sz w:val="23"/>
          <w:szCs w:val="23"/>
        </w:rPr>
        <w:t xml:space="preserve">6.5 Validación (sin autenticación)</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/api/validacion/{codigo}</w:t>
      </w:r>
      <w:r>
        <w:rPr>
          <w:i/>
          <w:iCs/>
          <w:color w:val="595959"/>
          <w:sz w:val="17"/>
          <w:szCs w:val="17"/>
        </w:rPr>
        <w:t xml:space="preserve"/>
      </w:r>
    </w:p>
    <w:p>
      <w:pPr>
        <w:spacing w:after="160" w:line="300"/>
      </w:pPr>
      <w:r>
        <w:rPr>
          <w:b w:val="false"/>
          <w:bCs w:val="false"/>
          <w:i w:val="false"/>
          <w:iCs w:val="false"/>
          <w:sz w:val="21"/>
          <w:szCs w:val="21"/>
        </w:rPr>
        <w:t xml:space="preserve">codigo es el codigoVerificacionPublico devuelto al crear la solicitud.</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"documentoValido": true, "estado": "Firmado", "firmantes": [ { "orden": 1, "estado": "Firmado" } ] }</w:t>
      </w:r>
    </w:p>
    <w:p>
      <w:pPr>
        <w:spacing w:after="160" w:line="300"/>
      </w:pPr>
      <w:r>
        <w:rPr>
          <w:b w:val="false"/>
          <w:bCs w:val="false"/>
          <w:i w:val="false"/>
          <w:iCs w:val="false"/>
          <w:sz w:val="21"/>
          <w:szCs w:val="21"/>
        </w:rPr>
        <w:t xml:space="preserve">Deliberadamente minimalista: no incluye nombre, hash, el documento en sí, ni la cadena de confianza — solo el veredicto y el estado de cada firmante por orden. Para un expediente completo, usar el validador de la sección 6.6.</w:t>
      </w:r>
    </w:p>
    <w:p>
      <w:pPr>
        <w:pStyle w:val="Heading2"/>
        <w:spacing w:after="120" w:before="280"/>
      </w:pPr>
      <w:r>
        <w:rPr>
          <w:b/>
          <w:bCs/>
          <w:color w:val="1F4E79"/>
          <w:sz w:val="23"/>
          <w:szCs w:val="23"/>
        </w:rPr>
        <w:t xml:space="preserve">6.6 Validador PAdES independiente (sin autenticación)</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/api/validador/pdf</w:t>
      </w:r>
      <w:r>
        <w:rPr>
          <w:i/>
          <w:iCs/>
          <w:color w:val="595959"/>
          <w:sz w:val="17"/>
          <w:szCs w:val="17"/>
        </w:rPr>
        <w:t xml:space="preserve"/>
      </w:r>
    </w:p>
    <w:p>
      <w:pPr>
        <w:spacing w:after="160" w:line="300"/>
      </w:pPr>
      <w:r>
        <w:rPr>
          <w:b w:val="false"/>
          <w:bCs w:val="false"/>
          <w:i w:val="false"/>
          <w:iCs w:val="false"/>
          <w:sz w:val="21"/>
          <w:szCs w:val="21"/>
        </w:rPr>
        <w:t xml:space="preserve">multipart/form-data — campo documento (el PDF). Funciona con cualquier PDF firmado con PAdES/CMS estándar, no solo con documentos generados por SecureSign — es un validador independiente, deliberadamente separado del código que genera las firmas.</w:t>
      </w:r>
    </w:p>
    <w:p>
      <w:pPr>
        <w:spacing w:after="160" w:line="300"/>
      </w:pPr>
      <w:r>
        <w:rPr>
          <w:b w:val="false"/>
          <w:bCs w:val="false"/>
          <w:i w:val="false"/>
          <w:iCs w:val="false"/>
          <w:sz w:val="21"/>
          <w:szCs w:val="21"/>
        </w:rPr>
        <w:t xml:space="preserve">Respuesta 200 OK (resumen de campos; el catálogo completo está en el Anexo A):</w:t>
      </w:r>
    </w:p>
    <w:p>
      <w:pPr>
        <w:pBdr>
          <w:left w:val="single" w:color="BFBFBF" w:sz="16" w:space="8"/>
        </w:pBdr>
        <w:shd w:fill="F2F2F2" w:color="auto" w:val="clear"/>
        <w:spacing w:after="0" w:before="120" w:line="264"/>
      </w:pPr>
      <w:r>
        <w:rPr>
          <w:rFonts w:ascii="Consolas" w:cs="Consolas" w:eastAsia="Consolas" w:hAnsi="Consolas"/>
          <w:color w:val="1B1B1B"/>
          <w:sz w:val="18"/>
          <w:szCs w:val="18"/>
        </w:rPr>
        <w:t xml:space="preserv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"totalFirmas": 1,</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"documentoValido": true,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"firmas": [ {</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"nombreFirmante": "...", "firmaCriptograficaValida": true,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"certificadoSujeto": "...", "certificadoVigente": true,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"cadenaValida": true, "raizConfiableIofe": true, "propositoValido": true,</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"estadoRevocacionOcsp": "Good", "estadoRevocacionCrl": "Good", "estadoRevocacionCombinado": "Good",</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"extendedKeyUsages": [ "1.3.6.1.5.5.7.3.4" ], "politicasCertificado": [], "estadoPolitica": "SoloInformativa",</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"estadoFinal": true, "evidencia": [ "..." ], "error": null</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 ],</w:t>
      </w:r>
    </w:p>
    <w:p>
      <w:pPr>
        <w:pBdr>
          <w:left w:val="single" w:color="BFBFBF" w:sz="16" w:space="8"/>
        </w:pBdr>
        <w:shd w:fill="F2F2F2" w:color="auto" w:val="clear"/>
        <w:spacing w:after="0" w:before="0" w:line="264"/>
      </w:pPr>
      <w:r>
        <w:rPr>
          <w:rFonts w:ascii="Consolas" w:cs="Consolas" w:eastAsia="Consolas" w:hAnsi="Consolas"/>
          <w:color w:val="1B1B1B"/>
          <w:sz w:val="18"/>
          <w:szCs w:val="18"/>
        </w:rPr>
        <w:t xml:space="preserve">  "sellosDeArchivo": []</w:t>
      </w:r>
    </w:p>
    <w:p>
      <w:pPr>
        <w:pBdr>
          <w:left w:val="single" w:color="BFBFBF" w:sz="16" w:space="8"/>
        </w:pBdr>
        <w:shd w:fill="F2F2F2" w:color="auto" w:val="clear"/>
        <w:spacing w:after="200" w:before="0" w:line="264"/>
      </w:pPr>
      <w:r>
        <w:rPr>
          <w:rFonts w:ascii="Consolas" w:cs="Consolas" w:eastAsia="Consolas" w:hAnsi="Consolas"/>
          <w:color w:val="1B1B1B"/>
          <w:sz w:val="18"/>
          <w:szCs w:val="18"/>
        </w:rPr>
        <w:t xml:space="preserve">}</w:t>
      </w:r>
    </w:p>
    <w:p>
      <w:pPr>
        <w:spacing w:after="160" w:line="300"/>
      </w:pPr>
      <w:r>
        <w:rPr>
          <w:b w:val="false"/>
          <w:bCs w:val="false"/>
          <w:i w:val="false"/>
          <w:iCs w:val="false"/>
          <w:sz w:val="21"/>
          <w:szCs w:val="21"/>
        </w:rPr>
        <w:t xml:space="preserve">estadoRevocacionOcsp/Crl/Combinado toman los valores Good, Revoked, Unknown o Unavailable — nunca se traduce “no se pudo determinar” en “válido” (fail closed). estadoPolitica toma SoloInformativa, Cumple o NoCumple — ver Anexo A para el detalle de la política de EKU/CertificatePolicies.</w:t>
      </w:r>
    </w:p>
    <w:p>
      <w:pPr>
        <w:pStyle w:val="Heading2"/>
        <w:spacing w:after="120" w:before="280"/>
      </w:pPr>
      <w:r>
        <w:rPr>
          <w:b/>
          <w:bCs/>
          <w:color w:val="1F4E79"/>
          <w:sz w:val="23"/>
          <w:szCs w:val="23"/>
        </w:rPr>
        <w:t xml:space="preserve">6.7 Señales de identidad</w:t>
      </w:r>
    </w:p>
    <w:p>
      <w:pPr>
        <w:spacing w:after="80" w:before="160"/>
      </w:pPr>
      <w:r>
        <w:rPr>
          <w:rFonts w:ascii="Consolas" w:cs="Consolas" w:eastAsia="Consolas" w:hAnsi="Consolas"/>
          <w:b/>
          <w:bCs/>
          <w:color w:val="FFFFFF"/>
          <w:sz w:val="19"/>
          <w:szCs w:val="19"/>
          <w:shd w:fill="1F4E79" w:color="auto" w:val="clear"/>
        </w:rPr>
        <w:t xml:space="preserve"> POST </w:t>
      </w:r>
      <w:r>
        <w:rPr>
          <w:rFonts w:ascii="Consolas" w:cs="Consolas" w:eastAsia="Consolas" w:hAnsi="Consolas"/>
          <w:b/>
          <w:bCs/>
          <w:color w:val="262626"/>
          <w:sz w:val="20"/>
          <w:szCs w:val="20"/>
        </w:rPr>
        <w:t xml:space="preserve">  /api/interno/identidad/{usuarioId}/senales</w:t>
      </w:r>
      <w:r>
        <w:rPr>
          <w:i/>
          <w:iCs/>
          <w:color w:val="595959"/>
          <w:sz w:val="17"/>
          <w:szCs w:val="17"/>
        </w:rPr>
        <w:t xml:space="preserve">   [scope: identidad.gestionar]</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"tipoSenal": "ValidacionExitosa" }</w:t>
      </w:r>
    </w:p>
    <w:p>
      <w:pPr>
        <w:spacing w:after="160" w:line="300"/>
      </w:pPr>
      <w:r>
        <w:rPr>
          <w:b w:val="false"/>
          <w:bCs w:val="false"/>
          <w:i w:val="false"/>
          <w:iCs w:val="false"/>
          <w:sz w:val="21"/>
          <w:szCs w:val="21"/>
        </w:rPr>
        <w:t xml:space="preserve">Sube el índice de confianza digital del usuario. Un sistema integrador que ejecuta su propia validación de identidad (OTP, biometría, verificación documental) reporta el resultado aquí; SecureSign lo usa para decidir si el firmante puede firmar con el TipoFirma solicitado.</w:t>
      </w:r>
    </w:p>
    <w:p>
      <w:pPr>
        <w:spacing w:after="80" w:before="160"/>
      </w:pPr>
      <w:r>
        <w:rPr>
          <w:rFonts w:ascii="Consolas" w:cs="Consolas" w:eastAsia="Consolas" w:hAnsi="Consolas"/>
          <w:b/>
          <w:bCs/>
          <w:color w:val="FFFFFF"/>
          <w:sz w:val="19"/>
          <w:szCs w:val="19"/>
          <w:shd w:fill="1E7B34" w:color="auto" w:val="clear"/>
        </w:rPr>
        <w:t xml:space="preserve"> GET </w:t>
      </w:r>
      <w:r>
        <w:rPr>
          <w:rFonts w:ascii="Consolas" w:cs="Consolas" w:eastAsia="Consolas" w:hAnsi="Consolas"/>
          <w:b/>
          <w:bCs/>
          <w:color w:val="262626"/>
          <w:sz w:val="20"/>
          <w:szCs w:val="20"/>
        </w:rPr>
        <w:t xml:space="preserve">  /api/interno/identidad/{usuarioId}/indice-confianza</w:t>
      </w:r>
      <w:r>
        <w:rPr>
          <w:i/>
          <w:iCs/>
          <w:color w:val="595959"/>
          <w:sz w:val="17"/>
          <w:szCs w:val="17"/>
        </w:rPr>
        <w:t xml:space="preserve">   [scope: identidad.gestionar]</w:t>
      </w:r>
    </w:p>
    <w:p>
      <w:pPr>
        <w:spacing w:after="160" w:line="300"/>
      </w:pPr>
      <w:r>
        <w:rPr>
          <w:b w:val="false"/>
          <w:bCs w:val="false"/>
          <w:i w:val="false"/>
          <w:iCs w:val="false"/>
          <w:sz w:val="21"/>
          <w:szCs w:val="21"/>
        </w:rPr>
        <w:t xml:space="preserve">Consulta el índice actual sin modificarlo — útil para decidir de antemano si vale la pena iniciar un flujo de firma Avanzada.</w:t>
      </w:r>
    </w:p>
    <w:p>
      <w:pPr>
        <w:pStyle w:val="Heading1"/>
        <w:pBdr>
          <w:bottom w:val="single" w:color="1F4E79" w:sz="6" w:space="4"/>
        </w:pBdr>
        <w:spacing w:after="200" w:before="420"/>
      </w:pPr>
      <w:r>
        <w:rPr>
          <w:b/>
          <w:bCs/>
          <w:color w:val="1F4E79"/>
          <w:sz w:val="28"/>
          <w:szCs w:val="28"/>
        </w:rPr>
        <w:t xml:space="preserve">7. Manejo de errores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600"/>
      </w:tblGrid>
      <w:tr>
        <w:tc>
          <w:tcPr>
            <w:tcW w:type="dxa" w:w="2400"/>
            <w:shd w:fill="1F4E79" w:color="auto" w:val="clear"/>
            <w:tcMar>
              <w:top w:type="dxa" w:w="90"/>
              <w:left w:type="dxa" w:w="110"/>
              <w:bottom w:type="dxa" w:w="90"/>
              <w:right w:type="dxa" w:w="110"/>
            </w:tcMar>
            <w:vAlign w:val="center"/>
          </w:tcPr>
          <w:p>
            <w:r>
              <w:rPr>
                <w:b/>
                <w:bCs/>
                <w:color w:val="FFFFFF"/>
                <w:sz w:val="19"/>
                <w:szCs w:val="19"/>
              </w:rPr>
              <w:t xml:space="preserve">Código</w:t>
            </w:r>
          </w:p>
        </w:tc>
        <w:tc>
          <w:tcPr>
            <w:tcW w:type="dxa" w:w="4200"/>
            <w:shd w:fill="1F4E79" w:color="auto" w:val="clear"/>
            <w:tcMar>
              <w:top w:type="dxa" w:w="90"/>
              <w:left w:type="dxa" w:w="110"/>
              <w:bottom w:type="dxa" w:w="90"/>
              <w:right w:type="dxa" w:w="110"/>
            </w:tcMar>
            <w:vAlign w:val="center"/>
          </w:tcPr>
          <w:p>
            <w:r>
              <w:rPr>
                <w:b/>
                <w:bCs/>
                <w:color w:val="FFFFFF"/>
                <w:sz w:val="19"/>
                <w:szCs w:val="19"/>
              </w:rPr>
              <w:t xml:space="preserve">Significado</w:t>
            </w:r>
          </w:p>
        </w:tc>
        <w:tc>
          <w:tcPr>
            <w:tcW w:type="dxa" w:w="3600"/>
            <w:shd w:fill="1F4E79" w:color="auto" w:val="clear"/>
            <w:tcMar>
              <w:top w:type="dxa" w:w="90"/>
              <w:left w:type="dxa" w:w="110"/>
              <w:bottom w:type="dxa" w:w="90"/>
              <w:right w:type="dxa" w:w="110"/>
            </w:tcMar>
            <w:vAlign w:val="center"/>
          </w:tcPr>
          <w:p>
            <w:r>
              <w:rPr>
                <w:b/>
                <w:bCs/>
                <w:color w:val="FFFFFF"/>
                <w:sz w:val="19"/>
                <w:szCs w:val="19"/>
              </w:rPr>
              <w:t xml:space="preserve">Acción recomendada</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200 / 201</w:t>
            </w:r>
          </w:p>
        </w:tc>
        <w:tc>
          <w:tcPr>
            <w:tcW w:type="dxa" w:w="4200"/>
            <w:tcMar>
              <w:top w:type="dxa" w:w="90"/>
              <w:left w:type="dxa" w:w="110"/>
              <w:bottom w:type="dxa" w:w="90"/>
              <w:right w:type="dxa" w:w="110"/>
            </w:tcMar>
            <w:vAlign w:val="center"/>
          </w:tcPr>
          <w:p>
            <w:r>
              <w:rPr>
                <w:b w:val="false"/>
                <w:bCs w:val="false"/>
                <w:color w:val="262626"/>
                <w:sz w:val="19"/>
                <w:szCs w:val="19"/>
              </w:rPr>
              <w:t xml:space="preserve">Operación exitosa</w:t>
            </w:r>
          </w:p>
        </w:tc>
        <w:tc>
          <w:tcPr>
            <w:tcW w:type="dxa" w:w="3600"/>
            <w:tcMar>
              <w:top w:type="dxa" w:w="90"/>
              <w:left w:type="dxa" w:w="110"/>
              <w:bottom w:type="dxa" w:w="90"/>
              <w:right w:type="dxa" w:w="110"/>
            </w:tcMar>
            <w:vAlign w:val="center"/>
          </w:tcPr>
          <w:p>
            <w:r>
              <w:rPr>
                <w:b w:val="false"/>
                <w:bCs w:val="false"/>
                <w:color w:val="262626"/>
                <w:sz w:val="19"/>
                <w:szCs w:val="19"/>
              </w:rPr>
              <w:t xml:space="preserve">—</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400 Bad Request</w:t>
            </w:r>
          </w:p>
        </w:tc>
        <w:tc>
          <w:tcPr>
            <w:tcW w:type="dxa" w:w="4200"/>
            <w:tcMar>
              <w:top w:type="dxa" w:w="90"/>
              <w:left w:type="dxa" w:w="110"/>
              <w:bottom w:type="dxa" w:w="90"/>
              <w:right w:type="dxa" w:w="110"/>
            </w:tcMar>
            <w:vAlign w:val="center"/>
          </w:tcPr>
          <w:p>
            <w:r>
              <w:rPr>
                <w:b w:val="false"/>
                <w:bCs w:val="false"/>
                <w:color w:val="262626"/>
                <w:sz w:val="19"/>
                <w:szCs w:val="19"/>
              </w:rPr>
              <w:t xml:space="preserve">Payload inválido o rechazado por una regla de negocio</w:t>
            </w:r>
          </w:p>
        </w:tc>
        <w:tc>
          <w:tcPr>
            <w:tcW w:type="dxa" w:w="3600"/>
            <w:tcMar>
              <w:top w:type="dxa" w:w="90"/>
              <w:left w:type="dxa" w:w="110"/>
              <w:bottom w:type="dxa" w:w="90"/>
              <w:right w:type="dxa" w:w="110"/>
            </w:tcMar>
            <w:vAlign w:val="center"/>
          </w:tcPr>
          <w:p>
            <w:r>
              <w:rPr>
                <w:b w:val="false"/>
                <w:bCs w:val="false"/>
                <w:color w:val="262626"/>
                <w:sz w:val="19"/>
                <w:szCs w:val="19"/>
              </w:rPr>
              <w:t xml:space="preserve">Revisar el campo mensaje de la respuesta</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401 Unauthorized</w:t>
            </w:r>
          </w:p>
        </w:tc>
        <w:tc>
          <w:tcPr>
            <w:tcW w:type="dxa" w:w="4200"/>
            <w:tcMar>
              <w:top w:type="dxa" w:w="90"/>
              <w:left w:type="dxa" w:w="110"/>
              <w:bottom w:type="dxa" w:w="90"/>
              <w:right w:type="dxa" w:w="110"/>
            </w:tcMar>
            <w:vAlign w:val="center"/>
          </w:tcPr>
          <w:p>
            <w:r>
              <w:rPr>
                <w:b w:val="false"/>
                <w:bCs w:val="false"/>
                <w:color w:val="262626"/>
                <w:sz w:val="19"/>
                <w:szCs w:val="19"/>
              </w:rPr>
              <w:t xml:space="preserve">Token ausente, expirado o inválido</w:t>
            </w:r>
          </w:p>
        </w:tc>
        <w:tc>
          <w:tcPr>
            <w:tcW w:type="dxa" w:w="3600"/>
            <w:tcMar>
              <w:top w:type="dxa" w:w="90"/>
              <w:left w:type="dxa" w:w="110"/>
              <w:bottom w:type="dxa" w:w="90"/>
              <w:right w:type="dxa" w:w="110"/>
            </w:tcMar>
            <w:vAlign w:val="center"/>
          </w:tcPr>
          <w:p>
            <w:r>
              <w:rPr>
                <w:b w:val="false"/>
                <w:bCs w:val="false"/>
                <w:color w:val="262626"/>
                <w:sz w:val="19"/>
                <w:szCs w:val="19"/>
              </w:rPr>
              <w:t xml:space="preserve">Renovar el token vía /api/auth/token</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403 Forbidden</w:t>
            </w:r>
          </w:p>
        </w:tc>
        <w:tc>
          <w:tcPr>
            <w:tcW w:type="dxa" w:w="4200"/>
            <w:tcMar>
              <w:top w:type="dxa" w:w="90"/>
              <w:left w:type="dxa" w:w="110"/>
              <w:bottom w:type="dxa" w:w="90"/>
              <w:right w:type="dxa" w:w="110"/>
            </w:tcMar>
            <w:vAlign w:val="center"/>
          </w:tcPr>
          <w:p>
            <w:r>
              <w:rPr>
                <w:b w:val="false"/>
                <w:bCs w:val="false"/>
                <w:color w:val="262626"/>
                <w:sz w:val="19"/>
                <w:szCs w:val="19"/>
              </w:rPr>
              <w:t xml:space="preserve">Token válido pero sin el scope requerido</w:t>
            </w:r>
          </w:p>
        </w:tc>
        <w:tc>
          <w:tcPr>
            <w:tcW w:type="dxa" w:w="3600"/>
            <w:tcMar>
              <w:top w:type="dxa" w:w="90"/>
              <w:left w:type="dxa" w:w="110"/>
              <w:bottom w:type="dxa" w:w="90"/>
              <w:right w:type="dxa" w:w="110"/>
            </w:tcMar>
            <w:vAlign w:val="center"/>
          </w:tcPr>
          <w:p>
            <w:r>
              <w:rPr>
                <w:b w:val="false"/>
                <w:bCs w:val="false"/>
                <w:color w:val="262626"/>
                <w:sz w:val="19"/>
                <w:szCs w:val="19"/>
              </w:rPr>
              <w:t xml:space="preserve">Verificar los scope concedidos al cliente</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404 Not Found</w:t>
            </w:r>
          </w:p>
        </w:tc>
        <w:tc>
          <w:tcPr>
            <w:tcW w:type="dxa" w:w="4200"/>
            <w:tcMar>
              <w:top w:type="dxa" w:w="90"/>
              <w:left w:type="dxa" w:w="110"/>
              <w:bottom w:type="dxa" w:w="90"/>
              <w:right w:type="dxa" w:w="110"/>
            </w:tcMar>
            <w:vAlign w:val="center"/>
          </w:tcPr>
          <w:p>
            <w:r>
              <w:rPr>
                <w:b w:val="false"/>
                <w:bCs w:val="false"/>
                <w:color w:val="262626"/>
                <w:sz w:val="19"/>
                <w:szCs w:val="19"/>
              </w:rPr>
              <w:t xml:space="preserve">Recurso inexistente o de otro tenant</w:t>
            </w:r>
          </w:p>
        </w:tc>
        <w:tc>
          <w:tcPr>
            <w:tcW w:type="dxa" w:w="3600"/>
            <w:tcMar>
              <w:top w:type="dxa" w:w="90"/>
              <w:left w:type="dxa" w:w="110"/>
              <w:bottom w:type="dxa" w:w="90"/>
              <w:right w:type="dxa" w:w="110"/>
            </w:tcMar>
            <w:vAlign w:val="center"/>
          </w:tcPr>
          <w:p>
            <w:r>
              <w:rPr>
                <w:b w:val="false"/>
                <w:bCs w:val="false"/>
                <w:color w:val="262626"/>
                <w:sz w:val="19"/>
                <w:szCs w:val="19"/>
              </w:rPr>
              <w:t xml:space="preserve">Verificar el id y que corresponde al mismo tenant del token</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429 Too Many Requests</w:t>
            </w:r>
          </w:p>
        </w:tc>
        <w:tc>
          <w:tcPr>
            <w:tcW w:type="dxa" w:w="4200"/>
            <w:tcMar>
              <w:top w:type="dxa" w:w="90"/>
              <w:left w:type="dxa" w:w="110"/>
              <w:bottom w:type="dxa" w:w="90"/>
              <w:right w:type="dxa" w:w="110"/>
            </w:tcMar>
            <w:vAlign w:val="center"/>
          </w:tcPr>
          <w:p>
            <w:r>
              <w:rPr>
                <w:b w:val="false"/>
                <w:bCs w:val="false"/>
                <w:color w:val="262626"/>
                <w:sz w:val="19"/>
                <w:szCs w:val="19"/>
              </w:rPr>
              <w:t xml:space="preserve">Se superó el límite de /api/auth/token (10/min por IP)</w:t>
            </w:r>
          </w:p>
        </w:tc>
        <w:tc>
          <w:tcPr>
            <w:tcW w:type="dxa" w:w="3600"/>
            <w:tcMar>
              <w:top w:type="dxa" w:w="90"/>
              <w:left w:type="dxa" w:w="110"/>
              <w:bottom w:type="dxa" w:w="90"/>
              <w:right w:type="dxa" w:w="110"/>
            </w:tcMar>
            <w:vAlign w:val="center"/>
          </w:tcPr>
          <w:p>
            <w:r>
              <w:rPr>
                <w:b w:val="false"/>
                <w:bCs w:val="false"/>
                <w:color w:val="262626"/>
                <w:sz w:val="19"/>
                <w:szCs w:val="19"/>
              </w:rPr>
              <w:t xml:space="preserve">Reintentar respetando la cabecera Retry-After; reutilizar el token en vez de pedirlo de nuevo</w:t>
            </w:r>
          </w:p>
        </w:tc>
      </w:tr>
      <w:tr>
        <w:tc>
          <w:tcPr>
            <w:tcW w:type="dxa" w:w="2400"/>
            <w:tcMar>
              <w:top w:type="dxa" w:w="90"/>
              <w:left w:type="dxa" w:w="110"/>
              <w:bottom w:type="dxa" w:w="90"/>
              <w:right w:type="dxa" w:w="110"/>
            </w:tcMar>
            <w:vAlign w:val="center"/>
          </w:tcPr>
          <w:p>
            <w:r>
              <w:rPr>
                <w:b w:val="false"/>
                <w:bCs w:val="false"/>
                <w:color w:val="262626"/>
                <w:sz w:val="19"/>
                <w:szCs w:val="19"/>
              </w:rPr>
              <w:t xml:space="preserve">500 Internal Server Error</w:t>
            </w:r>
          </w:p>
        </w:tc>
        <w:tc>
          <w:tcPr>
            <w:tcW w:type="dxa" w:w="4200"/>
            <w:tcMar>
              <w:top w:type="dxa" w:w="90"/>
              <w:left w:type="dxa" w:w="110"/>
              <w:bottom w:type="dxa" w:w="90"/>
              <w:right w:type="dxa" w:w="110"/>
            </w:tcMar>
            <w:vAlign w:val="center"/>
          </w:tcPr>
          <w:p>
            <w:r>
              <w:rPr>
                <w:b w:val="false"/>
                <w:bCs w:val="false"/>
                <w:color w:val="262626"/>
                <w:sz w:val="19"/>
                <w:szCs w:val="19"/>
              </w:rPr>
              <w:t xml:space="preserve">Error no controlado</w:t>
            </w:r>
          </w:p>
        </w:tc>
        <w:tc>
          <w:tcPr>
            <w:tcW w:type="dxa" w:w="3600"/>
            <w:tcMar>
              <w:top w:type="dxa" w:w="90"/>
              <w:left w:type="dxa" w:w="110"/>
              <w:bottom w:type="dxa" w:w="90"/>
              <w:right w:type="dxa" w:w="110"/>
            </w:tcMar>
            <w:vAlign w:val="center"/>
          </w:tcPr>
          <w:p>
            <w:r>
              <w:rPr>
                <w:b w:val="false"/>
                <w:bCs w:val="false"/>
                <w:color w:val="262626"/>
                <w:sz w:val="19"/>
                <w:szCs w:val="19"/>
              </w:rPr>
              <w:t xml:space="preserve">Reintentar con backoff exponencial</w:t>
            </w:r>
          </w:p>
        </w:tc>
      </w:tr>
    </w:tbl>
    <w:p>
      <w:pPr>
        <w:spacing w:after="160" w:line="300"/>
      </w:pPr>
      <w:r>
        <w:rPr>
          <w:b w:val="false"/>
          <w:bCs w:val="false"/>
          <w:i w:val="false"/>
          <w:iCs w:val="false"/>
          <w:sz w:val="21"/>
          <w:szCs w:val="21"/>
        </w:rPr>
        <w:t xml:space="preserve">Formato real de error (confirmado en los controladores):</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 "error": "SOLICITUD_INVALIDA", "mensaje": "El campo 'documentoId' es requerido" }</w:t>
      </w:r>
    </w:p>
    <w:p>
      <w:pPr>
        <w:spacing w:after="160" w:line="300"/>
      </w:pPr>
      <w:r>
        <w:rPr>
          <w:b w:val="false"/>
          <w:bCs w:val="false"/>
          <w:i w:val="false"/>
          <w:iCs w:val="false"/>
          <w:sz w:val="21"/>
          <w:szCs w:val="21"/>
        </w:rPr>
        <w:t xml:space="preserve">No hay traceId en el envelope de error hoy — si se necesita correlacionar con soporte, adjuntar la hora exacta, el endpoint y el cuerpo de la petición (sin el client_secret ni el PIN).</w:t>
      </w:r>
    </w:p>
    <w:p>
      <w:pPr>
        <w:pStyle w:val="Heading1"/>
        <w:pBdr>
          <w:bottom w:val="single" w:color="1F4E79" w:sz="6" w:space="4"/>
        </w:pBdr>
        <w:spacing w:after="200" w:before="420"/>
      </w:pPr>
      <w:r>
        <w:rPr>
          <w:b/>
          <w:bCs/>
          <w:color w:val="1F4E79"/>
          <w:sz w:val="28"/>
          <w:szCs w:val="28"/>
        </w:rPr>
        <w:t xml:space="preserve">8. CORS (integraciones desde el navegador)</w:t>
      </w:r>
    </w:p>
    <w:p>
      <w:pPr>
        <w:spacing w:after="160" w:line="300"/>
      </w:pPr>
      <w:r>
        <w:rPr>
          <w:b w:val="false"/>
          <w:bCs w:val="false"/>
          <w:i w:val="false"/>
          <w:iCs w:val="false"/>
          <w:sz w:val="21"/>
          <w:szCs w:val="21"/>
        </w:rPr>
        <w:t xml:space="preserve">Si el sistema integrador llama a la API directamente desde JavaScript en el navegador del usuario final (en vez de desde su propio backend), debe tener en cuenta que el Gateway aplica una política CORS restrictiva fuera de entornos de desarrollo: el operador de SecureSign debe autorizar explícitamente el origen del sistema integrador.</w:t>
      </w:r>
    </w:p>
    <w:p>
      <w:pPr>
        <w:pBdr>
          <w:left w:val="single" w:color="1F4E79" w:sz="24" w:space="8"/>
        </w:pBdr>
        <w:shd w:fill="DCE6F1" w:color="auto" w:val="clear"/>
        <w:spacing w:after="200" w:before="100"/>
        <w:ind w:left="120"/>
      </w:pPr>
      <w:r>
        <w:rPr>
          <w:b/>
          <w:bCs/>
          <w:color w:val="1F4E79"/>
          <w:sz w:val="20"/>
          <w:szCs w:val="20"/>
        </w:rPr>
        <w:t xml:space="preserve">Recomendación: </w:t>
      </w:r>
      <w:r>
        <w:rPr>
          <w:color w:val="262626"/>
          <w:sz w:val="20"/>
          <w:szCs w:val="20"/>
        </w:rPr>
        <w:t xml:space="preserve">La recomendación general (y la más simple de operar) sigue siendo que el sistema integrador llame a la API de SecureSign desde SU PROPIO backend, nunca desde el navegador del usuario final — así el client_secret nunca queda expuesto y no depende de la configuración de CORS del operador.</w:t>
      </w:r>
    </w:p>
    <w:p>
      <w:pPr>
        <w:pStyle w:val="Heading1"/>
        <w:pBdr>
          <w:bottom w:val="single" w:color="1F4E79" w:sz="6" w:space="4"/>
        </w:pBdr>
        <w:spacing w:after="200" w:before="420"/>
      </w:pPr>
      <w:r>
        <w:rPr>
          <w:b/>
          <w:bCs/>
          <w:color w:val="1F4E79"/>
          <w:sz w:val="28"/>
          <w:szCs w:val="28"/>
        </w:rPr>
        <w:t xml:space="preserve">9. Buenas prácticas</w:t>
      </w:r>
    </w:p>
    <w:p>
      <w:pPr>
        <w:pStyle w:val="ListParagraph"/>
        <w:numPr>
          <w:ilvl w:val="0"/>
          <w:numId w:val="2"/>
        </w:numPr>
        <w:spacing w:after="90"/>
      </w:pPr>
      <w:r>
        <w:rPr>
          <w:b w:val="false"/>
          <w:bCs w:val="false"/>
          <w:sz w:val="20"/>
          <w:szCs w:val="20"/>
        </w:rPr>
        <w:t xml:space="preserve">Nunca almacenar el client_secret en el frontend, en el repositorio de código o en logs.</w:t>
      </w:r>
    </w:p>
    <w:p>
      <w:pPr>
        <w:pStyle w:val="ListParagraph"/>
        <w:numPr>
          <w:ilvl w:val="0"/>
          <w:numId w:val="2"/>
        </w:numPr>
        <w:spacing w:after="90"/>
      </w:pPr>
      <w:r>
        <w:rPr>
          <w:b w:val="false"/>
          <w:bCs w:val="false"/>
          <w:sz w:val="20"/>
          <w:szCs w:val="20"/>
        </w:rPr>
        <w:t xml:space="preserve">Usar codigoExterno al registrar un documento, para poder correlacionarlo con el propio sistema.</w:t>
      </w:r>
    </w:p>
    <w:p>
      <w:pPr>
        <w:pStyle w:val="ListParagraph"/>
        <w:numPr>
          <w:ilvl w:val="0"/>
          <w:numId w:val="2"/>
        </w:numPr>
        <w:spacing w:after="90"/>
      </w:pPr>
      <w:r>
        <w:rPr>
          <w:b w:val="false"/>
          <w:bCs w:val="false"/>
          <w:i w:val="false"/>
          <w:iCs w:val="false"/>
          <w:sz w:val="20"/>
          <w:szCs w:val="20"/>
        </w:rPr>
      </w:r>
      <w:r>
        <w:rPr>
          <w:b w:val="false"/>
          <w:bCs w:val="false"/>
          <w:i/>
          <w:iCs/>
          <w:sz w:val="20"/>
          <w:szCs w:val="20"/>
        </w:rPr>
        <w:t xml:space="preserve">access_token</w:t>
      </w:r>
      <w:r>
        <w:rPr>
          <w:b w:val="false"/>
          <w:bCs w:val="false"/>
          <w:i w:val="false"/>
          <w:iCs w:val="false"/>
          <w:sz w:val="20"/>
          <w:szCs w:val="20"/>
        </w:rPr>
      </w:r>
      <w:r>
        <w:rPr>
          <w:b w:val="false"/>
          <w:bCs w:val="false"/>
          <w:i/>
          <w:iCs/>
          <w:sz w:val="20"/>
          <w:szCs w:val="20"/>
        </w:rPr>
        <w:t xml:space="preserve">expires_in</w:t>
      </w:r>
      <w:r>
        <w:rPr>
          <w:b w:val="false"/>
          <w:bCs w:val="false"/>
          <w:i w:val="false"/>
          <w:iCs w:val="false"/>
          <w:sz w:val="20"/>
          <w:szCs w:val="20"/>
        </w:rPr>
      </w:r>
    </w:p>
    <w:p>
      <w:pPr>
        <w:pStyle w:val="ListParagraph"/>
        <w:numPr>
          <w:ilvl w:val="0"/>
          <w:numId w:val="2"/>
        </w:numPr>
        <w:spacing w:after="90"/>
      </w:pPr>
      <w:r>
        <w:rPr>
          <w:b w:val="false"/>
          <w:bCs w:val="false"/>
          <w:sz w:val="20"/>
          <w:szCs w:val="20"/>
        </w:rPr>
        <w:t xml:space="preserve">Hacer polling de GET /api/firmas/{id}/estado con un intervalo razonable (por ejemplo cada 10–30 segundos) — no existen webhooks todavía.</w:t>
      </w:r>
    </w:p>
    <w:p>
      <w:pPr>
        <w:pStyle w:val="ListParagraph"/>
        <w:numPr>
          <w:ilvl w:val="0"/>
          <w:numId w:val="2"/>
        </w:numPr>
        <w:spacing w:after="90"/>
      </w:pPr>
      <w:r>
        <w:rPr>
          <w:b w:val="false"/>
          <w:bCs w:val="false"/>
          <w:sz w:val="20"/>
          <w:szCs w:val="20"/>
        </w:rPr>
        <w:t xml:space="preserve">Probar el flujo completo contra un entorno de referencia (Docker local o el que indique el operador) antes de pedir credenciales de un entorno real — no hay sandbox público hoy.</w:t>
      </w:r>
    </w:p>
    <w:p>
      <w:pPr>
        <w:pStyle w:val="ListParagraph"/>
        <w:numPr>
          <w:ilvl w:val="0"/>
          <w:numId w:val="2"/>
        </w:numPr>
        <w:spacing w:after="90"/>
      </w:pPr>
      <w:r>
        <w:rPr>
          <w:b w:val="false"/>
          <w:bCs w:val="false"/>
          <w:sz w:val="20"/>
          <w:szCs w:val="20"/>
        </w:rPr>
        <w:t xml:space="preserve">Tratar cada usuarioId como un identificador opaco: no asumir ningún formato ni intentar derivar información de él.</w:t>
      </w:r>
    </w:p>
    <w:p>
      <w:pPr>
        <w:pStyle w:val="ListParagraph"/>
        <w:numPr>
          <w:ilvl w:val="0"/>
          <w:numId w:val="2"/>
        </w:numPr>
        <w:spacing w:after="90"/>
      </w:pPr>
      <w:r>
        <w:rPr>
          <w:b w:val="false"/>
          <w:bCs w:val="false"/>
          <w:sz w:val="20"/>
          <w:szCs w:val="20"/>
        </w:rPr>
        <w:t xml:space="preserve">Diseñar el reintento de peticiones (401, 429, 500) con backoff — nunca reintentar en bucle cerrado.</w:t>
      </w:r>
    </w:p>
    <w:p>
      <w:pPr>
        <w:pStyle w:val="Heading1"/>
        <w:pBdr>
          <w:bottom w:val="single" w:color="1F4E79" w:sz="6" w:space="4"/>
        </w:pBdr>
        <w:spacing w:after="200" w:before="420"/>
      </w:pPr>
      <w:r>
        <w:rPr>
          <w:b/>
          <w:bCs/>
          <w:color w:val="1F4E79"/>
          <w:sz w:val="28"/>
          <w:szCs w:val="28"/>
        </w:rPr>
        <w:t xml:space="preserve">10. Ejemplo funcional de referencia</w:t>
      </w:r>
    </w:p>
    <w:p>
      <w:pPr>
        <w:spacing w:after="160" w:line="300"/>
      </w:pPr>
      <w:r>
        <w:rPr>
          <w:b w:val="false"/>
          <w:bCs w:val="false"/>
          <w:i w:val="false"/>
          <w:iCs w:val="false"/>
          <w:sz w:val="21"/>
          <w:szCs w:val="21"/>
        </w:rPr>
        <w:t xml:space="preserve">El ejemplo autoritativo de la API real es un script bash del propio repositorio de SecureSign, que ejecuta el flujo completo (autenticación → registro → solicitud → visualización → señal de identidad → firma → descarga → validación pública) contra un Gateway real, sin ningún paso simulado:</w:t>
      </w:r>
    </w:p>
    <w:p>
      <w:pPr>
        <w:pBdr>
          <w:left w:val="single" w:color="BFBFBF" w:sz="16" w:space="8"/>
        </w:pBdr>
        <w:shd w:fill="F2F2F2" w:color="auto" w:val="clear"/>
        <w:spacing w:after="200" w:before="120" w:line="264"/>
      </w:pPr>
      <w:r>
        <w:rPr>
          <w:rFonts w:ascii="Consolas" w:cs="Consolas" w:eastAsia="Consolas" w:hAnsi="Consolas"/>
          <w:color w:val="1B1B1B"/>
          <w:sz w:val="18"/>
          <w:szCs w:val="18"/>
        </w:rPr>
        <w:t xml:space="preserve">./firmar-documento.sh http://localhost:8080 ./contrato.pdf</w:t>
      </w:r>
    </w:p>
    <w:p>
      <w:pPr>
        <w:spacing w:after="160" w:line="300"/>
      </w:pPr>
      <w:r>
        <w:rPr>
          <w:b w:val="false"/>
          <w:bCs w:val="false"/>
          <w:i w:val="false"/>
          <w:iCs w:val="false"/>
          <w:sz w:val="21"/>
          <w:szCs w:val="21"/>
        </w:rPr>
        <w:t xml:space="preserve">Pedir este script al operador de SecureSign como punto de partida es más confiable que cualquier fragmento de código de este manual: se ejecuta de punta a punta contra el stack real en cada cambio de la plataforma.</w:t>
      </w:r>
    </w:p>
    <w:p>
      <w:pPr>
        <w:pStyle w:val="Heading1"/>
        <w:pBdr>
          <w:bottom w:val="single" w:color="1F4E79" w:sz="6" w:space="4"/>
        </w:pBdr>
        <w:spacing w:after="200" w:before="420"/>
      </w:pPr>
      <w:r>
        <w:rPr>
          <w:b/>
          <w:bCs/>
          <w:color w:val="1F4E79"/>
          <w:sz w:val="28"/>
          <w:szCs w:val="28"/>
        </w:rPr>
        <w:t xml:space="preserve">11. Sobre los SDK de referencia (.NET / JavaScript / Python)</w:t>
      </w:r>
    </w:p>
    <w:p>
      <w:pPr>
        <w:pBdr>
          <w:left w:val="single" w:color="B00020" w:sz="24" w:space="8"/>
        </w:pBdr>
        <w:shd w:fill="FBE9E7" w:color="auto" w:val="clear"/>
        <w:spacing w:after="200" w:before="100"/>
        <w:ind w:left="120"/>
      </w:pPr>
      <w:r>
        <w:rPr>
          <w:b/>
          <w:bCs/>
          <w:color w:val="B00020"/>
          <w:sz w:val="20"/>
          <w:szCs w:val="20"/>
        </w:rPr>
        <w:t xml:space="preserve">Advertencia: </w:t>
      </w:r>
      <w:r>
        <w:rPr>
          <w:color w:val="262626"/>
          <w:sz w:val="20"/>
          <w:szCs w:val="20"/>
        </w:rPr>
        <w:t xml:space="preserve">Los archivos de SDK que puedan acompañar al repositorio de SecureSign (cliente .NET, JavaScript y Python) tienen código real pero describen una API distinta a la actual: usan una URL base con /v1, un parámetro api_key en vez de client_id/client_secret, y otras formas de las descritas en este manual. NO deben usarse tal cual todavía — este manual y el script de la sección 10 son la fuente de verdad. Un SDK real, alineado con esta API, es un pendiente de la plataforma.</w:t>
      </w:r>
    </w:p>
    <w:p>
      <w:pPr>
        <w:spacing w:after="160" w:line="300"/>
      </w:pPr>
      <w:r>
        <w:rPr>
          <w:b w:val="false"/>
          <w:bCs w:val="false"/>
          <w:i w:val="false"/>
          <w:iCs w:val="false"/>
          <w:sz w:val="21"/>
          <w:szCs w:val="21"/>
        </w:rPr>
        <w:t xml:space="preserve">Hasta que exista un SDK alineado, integrar con llamadas HTTP directas (como hace el script de la sección 10) es la única vía soportada y confiable.</w:t>
      </w:r>
    </w:p>
    <w:p>
      <w:pPr>
        <w:pStyle w:val="Heading1"/>
        <w:pBdr>
          <w:bottom w:val="single" w:color="1F4E79" w:sz="6" w:space="4"/>
        </w:pBdr>
        <w:spacing w:after="200" w:before="420"/>
      </w:pPr>
      <w:r>
        <w:rPr>
          <w:b/>
          <w:bCs/>
          <w:color w:val="1F4E79"/>
          <w:sz w:val="28"/>
          <w:szCs w:val="28"/>
        </w:rPr>
        <w:t xml:space="preserve">Anexo A — Catálogo completo de campos del validador PAdES</w:t>
      </w:r>
    </w:p>
    <w:p>
      <w:pPr>
        <w:spacing w:after="160" w:line="300"/>
      </w:pPr>
      <w:r>
        <w:rPr>
          <w:b w:val="false"/>
          <w:bCs w:val="false"/>
          <w:i w:val="false"/>
          <w:iCs w:val="false"/>
          <w:sz w:val="21"/>
          <w:szCs w:val="21"/>
        </w:rPr>
        <w:t xml:space="preserve">Cada objeto del arreglo firmas de POST /api/validador/pdf (sección 6.6) trae estos campos: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200"/>
      </w:tblGrid>
      <w:tr>
        <w:tc>
          <w:tcPr>
            <w:tcW w:type="dxa" w:w="2600"/>
            <w:shd w:fill="1F4E79" w:color="auto" w:val="clear"/>
            <w:tcMar>
              <w:top w:type="dxa" w:w="90"/>
              <w:left w:type="dxa" w:w="110"/>
              <w:bottom w:type="dxa" w:w="90"/>
              <w:right w:type="dxa" w:w="110"/>
            </w:tcMar>
            <w:vAlign w:val="center"/>
          </w:tcPr>
          <w:p>
            <w:r>
              <w:rPr>
                <w:b/>
                <w:bCs/>
                <w:color w:val="FFFFFF"/>
                <w:sz w:val="19"/>
                <w:szCs w:val="19"/>
              </w:rPr>
              <w:t xml:space="preserve">Campo</w:t>
            </w:r>
          </w:p>
        </w:tc>
        <w:tc>
          <w:tcPr>
            <w:tcW w:type="dxa" w:w="1400"/>
            <w:shd w:fill="1F4E79" w:color="auto" w:val="clear"/>
            <w:tcMar>
              <w:top w:type="dxa" w:w="90"/>
              <w:left w:type="dxa" w:w="110"/>
              <w:bottom w:type="dxa" w:w="90"/>
              <w:right w:type="dxa" w:w="110"/>
            </w:tcMar>
            <w:vAlign w:val="center"/>
          </w:tcPr>
          <w:p>
            <w:r>
              <w:rPr>
                <w:b/>
                <w:bCs/>
                <w:color w:val="FFFFFF"/>
                <w:sz w:val="19"/>
                <w:szCs w:val="19"/>
              </w:rPr>
              <w:t xml:space="preserve">Tipo</w:t>
            </w:r>
          </w:p>
        </w:tc>
        <w:tc>
          <w:tcPr>
            <w:tcW w:type="dxa" w:w="5200"/>
            <w:shd w:fill="1F4E79" w:color="auto" w:val="clear"/>
            <w:tcMar>
              <w:top w:type="dxa" w:w="90"/>
              <w:left w:type="dxa" w:w="110"/>
              <w:bottom w:type="dxa" w:w="90"/>
              <w:right w:type="dxa" w:w="110"/>
            </w:tcMar>
            <w:vAlign w:val="center"/>
          </w:tcPr>
          <w:p>
            <w:r>
              <w:rPr>
                <w:b/>
                <w:bCs/>
                <w:color w:val="FFFFFF"/>
                <w:sz w:val="19"/>
                <w:szCs w:val="19"/>
              </w:rPr>
              <w:t xml:space="preserve">Significado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nombreFirmante</w:t>
            </w:r>
          </w:p>
        </w:tc>
        <w:tc>
          <w:tcPr>
            <w:tcW w:type="dxa" w:w="1400"/>
            <w:tcMar>
              <w:top w:type="dxa" w:w="90"/>
              <w:left w:type="dxa" w:w="110"/>
              <w:bottom w:type="dxa" w:w="90"/>
              <w:right w:type="dxa" w:w="110"/>
            </w:tcMar>
            <w:vAlign w:val="center"/>
          </w:tcPr>
          <w:p>
            <w:r>
              <w:rPr>
                <w:b w:val="false"/>
                <w:bCs w:val="false"/>
                <w:color w:val="262626"/>
                <w:sz w:val="19"/>
                <w:szCs w:val="19"/>
              </w:rPr>
              <w:t xml:space="preserve">string | null</w:t>
            </w:r>
          </w:p>
        </w:tc>
        <w:tc>
          <w:tcPr>
            <w:tcW w:type="dxa" w:w="5200"/>
            <w:tcMar>
              <w:top w:type="dxa" w:w="90"/>
              <w:left w:type="dxa" w:w="110"/>
              <w:bottom w:type="dxa" w:w="90"/>
              <w:right w:type="dxa" w:w="110"/>
            </w:tcMar>
            <w:vAlign w:val="center"/>
          </w:tcPr>
          <w:p>
            <w:r>
              <w:rPr>
                <w:b w:val="false"/>
                <w:bCs w:val="false"/>
                <w:color w:val="262626"/>
                <w:sz w:val="19"/>
                <w:szCs w:val="19"/>
              </w:rPr>
              <w:t xml:space="preserve">Nombre declarado en la firma, si el PDF lo trae</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firmaCriptograficaValida</w:t>
            </w:r>
          </w:p>
        </w:tc>
        <w:tc>
          <w:tcPr>
            <w:tcW w:type="dxa" w:w="1400"/>
            <w:tcMar>
              <w:top w:type="dxa" w:w="90"/>
              <w:left w:type="dxa" w:w="110"/>
              <w:bottom w:type="dxa" w:w="90"/>
              <w:right w:type="dxa" w:w="110"/>
            </w:tcMar>
            <w:vAlign w:val="center"/>
          </w:tcPr>
          <w:p>
            <w:r>
              <w:rPr>
                <w:b w:val="false"/>
                <w:bCs w:val="false"/>
                <w:color w:val="262626"/>
                <w:sz w:val="19"/>
                <w:szCs w:val="19"/>
              </w:rPr>
              <w:t xml:space="preserve">bool</w:t>
            </w:r>
          </w:p>
        </w:tc>
        <w:tc>
          <w:tcPr>
            <w:tcW w:type="dxa" w:w="5200"/>
            <w:tcMar>
              <w:top w:type="dxa" w:w="90"/>
              <w:left w:type="dxa" w:w="110"/>
              <w:bottom w:type="dxa" w:w="90"/>
              <w:right w:type="dxa" w:w="110"/>
            </w:tcMar>
            <w:vAlign w:val="center"/>
          </w:tcPr>
          <w:p>
            <w:r>
              <w:rPr>
                <w:b w:val="false"/>
                <w:bCs w:val="false"/>
                <w:color w:val="262626"/>
                <w:sz w:val="19"/>
                <w:szCs w:val="19"/>
              </w:rPr>
              <w:t xml:space="preserve">La firma corresponde matemáticamente al documento y al certificado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certificadoSujeto / certificadoEmisor</w:t>
            </w:r>
          </w:p>
        </w:tc>
        <w:tc>
          <w:tcPr>
            <w:tcW w:type="dxa" w:w="1400"/>
            <w:tcMar>
              <w:top w:type="dxa" w:w="90"/>
              <w:left w:type="dxa" w:w="110"/>
              <w:bottom w:type="dxa" w:w="90"/>
              <w:right w:type="dxa" w:w="110"/>
            </w:tcMar>
            <w:vAlign w:val="center"/>
          </w:tcPr>
          <w:p>
            <w:r>
              <w:rPr>
                <w:b w:val="false"/>
                <w:bCs w:val="false"/>
                <w:color w:val="262626"/>
                <w:sz w:val="19"/>
                <w:szCs w:val="19"/>
              </w:rPr>
              <w:t xml:space="preserve">string | null</w:t>
            </w:r>
          </w:p>
        </w:tc>
        <w:tc>
          <w:tcPr>
            <w:tcW w:type="dxa" w:w="5200"/>
            <w:tcMar>
              <w:top w:type="dxa" w:w="90"/>
              <w:left w:type="dxa" w:w="110"/>
              <w:bottom w:type="dxa" w:w="90"/>
              <w:right w:type="dxa" w:w="110"/>
            </w:tcMar>
            <w:vAlign w:val="center"/>
          </w:tcPr>
          <w:p>
            <w:r>
              <w:rPr>
                <w:b w:val="false"/>
                <w:bCs w:val="false"/>
                <w:color w:val="262626"/>
                <w:sz w:val="19"/>
                <w:szCs w:val="19"/>
              </w:rPr>
              <w:t xml:space="preserve">Subject / Issuer del certificado del firmante</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certificadoVigenteDesde / Hasta</w:t>
            </w:r>
          </w:p>
        </w:tc>
        <w:tc>
          <w:tcPr>
            <w:tcW w:type="dxa" w:w="1400"/>
            <w:tcMar>
              <w:top w:type="dxa" w:w="90"/>
              <w:left w:type="dxa" w:w="110"/>
              <w:bottom w:type="dxa" w:w="90"/>
              <w:right w:type="dxa" w:w="110"/>
            </w:tcMar>
            <w:vAlign w:val="center"/>
          </w:tcPr>
          <w:p>
            <w:r>
              <w:rPr>
                <w:b w:val="false"/>
                <w:bCs w:val="false"/>
                <w:color w:val="262626"/>
                <w:sz w:val="19"/>
                <w:szCs w:val="19"/>
              </w:rPr>
              <w:t xml:space="preserve">fecha | null</w:t>
            </w:r>
          </w:p>
        </w:tc>
        <w:tc>
          <w:tcPr>
            <w:tcW w:type="dxa" w:w="5200"/>
            <w:tcMar>
              <w:top w:type="dxa" w:w="90"/>
              <w:left w:type="dxa" w:w="110"/>
              <w:bottom w:type="dxa" w:w="90"/>
              <w:right w:type="dxa" w:w="110"/>
            </w:tcMar>
            <w:vAlign w:val="center"/>
          </w:tcPr>
          <w:p>
            <w:r>
              <w:rPr>
                <w:b w:val="false"/>
                <w:bCs w:val="false"/>
                <w:color w:val="262626"/>
                <w:sz w:val="19"/>
                <w:szCs w:val="19"/>
              </w:rPr>
              <w:t xml:space="preserve">Vigencia declarada del certificado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instanteFirmaDeclarado</w:t>
            </w:r>
          </w:p>
        </w:tc>
        <w:tc>
          <w:tcPr>
            <w:tcW w:type="dxa" w:w="1400"/>
            <w:tcMar>
              <w:top w:type="dxa" w:w="90"/>
              <w:left w:type="dxa" w:w="110"/>
              <w:bottom w:type="dxa" w:w="90"/>
              <w:right w:type="dxa" w:w="110"/>
            </w:tcMar>
            <w:vAlign w:val="center"/>
          </w:tcPr>
          <w:p>
            <w:r>
              <w:rPr>
                <w:b w:val="false"/>
                <w:bCs w:val="false"/>
                <w:color w:val="262626"/>
                <w:sz w:val="19"/>
                <w:szCs w:val="19"/>
              </w:rPr>
              <w:t xml:space="preserve">fecha | null</w:t>
            </w:r>
          </w:p>
        </w:tc>
        <w:tc>
          <w:tcPr>
            <w:tcW w:type="dxa" w:w="5200"/>
            <w:tcMar>
              <w:top w:type="dxa" w:w="90"/>
              <w:left w:type="dxa" w:w="110"/>
              <w:bottom w:type="dxa" w:w="90"/>
              <w:right w:type="dxa" w:w="110"/>
            </w:tcMar>
            <w:vAlign w:val="center"/>
          </w:tcPr>
          <w:p>
            <w:r>
              <w:rPr>
                <w:b w:val="false"/>
                <w:bCs w:val="false"/>
                <w:color w:val="262626"/>
                <w:sz w:val="19"/>
                <w:szCs w:val="19"/>
              </w:rPr>
              <w:t xml:space="preserve">El /M autodeclarado por el firmante dentro del PDF</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instanteFirmaConfiable</w:t>
            </w:r>
          </w:p>
        </w:tc>
        <w:tc>
          <w:tcPr>
            <w:tcW w:type="dxa" w:w="1400"/>
            <w:tcMar>
              <w:top w:type="dxa" w:w="90"/>
              <w:left w:type="dxa" w:w="110"/>
              <w:bottom w:type="dxa" w:w="90"/>
              <w:right w:type="dxa" w:w="110"/>
            </w:tcMar>
            <w:vAlign w:val="center"/>
          </w:tcPr>
          <w:p>
            <w:r>
              <w:rPr>
                <w:b w:val="false"/>
                <w:bCs w:val="false"/>
                <w:color w:val="262626"/>
                <w:sz w:val="19"/>
                <w:szCs w:val="19"/>
              </w:rPr>
              <w:t xml:space="preserve">bool</w:t>
            </w:r>
          </w:p>
        </w:tc>
        <w:tc>
          <w:tcPr>
            <w:tcW w:type="dxa" w:w="5200"/>
            <w:tcMar>
              <w:top w:type="dxa" w:w="90"/>
              <w:left w:type="dxa" w:w="110"/>
              <w:bottom w:type="dxa" w:w="90"/>
              <w:right w:type="dxa" w:w="110"/>
            </w:tcMar>
            <w:vAlign w:val="center"/>
          </w:tcPr>
          <w:p>
            <w:r>
              <w:rPr>
                <w:b w:val="false"/>
                <w:bCs w:val="false"/>
                <w:color w:val="262626"/>
                <w:sz w:val="19"/>
                <w:szCs w:val="19"/>
              </w:rPr>
              <w:t xml:space="preserve">Si el instante usado para validar vigencia/revocación proviene de una fuente verificable (hoy siempre false — se usa el /M declarado, ver instanteSelloTiempo)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instanteSelloTiempo / selloTiempoAutoridad</w:t>
            </w:r>
          </w:p>
        </w:tc>
        <w:tc>
          <w:tcPr>
            <w:tcW w:type="dxa" w:w="1400"/>
            <w:tcMar>
              <w:top w:type="dxa" w:w="90"/>
              <w:left w:type="dxa" w:w="110"/>
              <w:bottom w:type="dxa" w:w="90"/>
              <w:right w:type="dxa" w:w="110"/>
            </w:tcMar>
            <w:vAlign w:val="center"/>
          </w:tcPr>
          <w:p>
            <w:r>
              <w:rPr>
                <w:b w:val="false"/>
                <w:bCs w:val="false"/>
                <w:color w:val="262626"/>
                <w:sz w:val="19"/>
                <w:szCs w:val="19"/>
              </w:rPr>
              <w:t xml:space="preserve">fecha/string | null</w:t>
            </w:r>
          </w:p>
        </w:tc>
        <w:tc>
          <w:tcPr>
            <w:tcW w:type="dxa" w:w="5200"/>
            <w:tcMar>
              <w:top w:type="dxa" w:w="90"/>
              <w:left w:type="dxa" w:w="110"/>
              <w:bottom w:type="dxa" w:w="90"/>
              <w:right w:type="dxa" w:w="110"/>
            </w:tcMar>
            <w:vAlign w:val="center"/>
          </w:tcPr>
          <w:p>
            <w:r>
              <w:rPr>
                <w:b w:val="false"/>
                <w:bCs w:val="false"/>
                <w:color w:val="262626"/>
                <w:sz w:val="19"/>
                <w:szCs w:val="19"/>
              </w:rPr>
              <w:t xml:space="preserve">Sello de tiempo RFC 3161 embebido (PAdES-T), si existe</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certificadoVigente / cadenaValida / raizConfiableIofe / propositoValido</w:t>
            </w:r>
          </w:p>
        </w:tc>
        <w:tc>
          <w:tcPr>
            <w:tcW w:type="dxa" w:w="1400"/>
            <w:tcMar>
              <w:top w:type="dxa" w:w="90"/>
              <w:left w:type="dxa" w:w="110"/>
              <w:bottom w:type="dxa" w:w="90"/>
              <w:right w:type="dxa" w:w="110"/>
            </w:tcMar>
            <w:vAlign w:val="center"/>
          </w:tcPr>
          <w:p>
            <w:r>
              <w:rPr>
                <w:b w:val="false"/>
                <w:bCs w:val="false"/>
                <w:color w:val="262626"/>
                <w:sz w:val="19"/>
                <w:szCs w:val="19"/>
              </w:rPr>
              <w:t xml:space="preserve">bool</w:t>
            </w:r>
          </w:p>
        </w:tc>
        <w:tc>
          <w:tcPr>
            <w:tcW w:type="dxa" w:w="5200"/>
            <w:tcMar>
              <w:top w:type="dxa" w:w="90"/>
              <w:left w:type="dxa" w:w="110"/>
              <w:bottom w:type="dxa" w:w="90"/>
              <w:right w:type="dxa" w:w="110"/>
            </w:tcMar>
            <w:vAlign w:val="center"/>
          </w:tcPr>
          <w:p>
            <w:r>
              <w:rPr>
                <w:b w:val="false"/>
                <w:bCs w:val="false"/>
                <w:color w:val="262626"/>
                <w:sz w:val="19"/>
                <w:szCs w:val="19"/>
              </w:rPr>
              <w:t xml:space="preserve">Cada comprobación del motor de confianza IOFE, por separado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estadoRevocacionOcsp / Crl / Combinado</w:t>
            </w:r>
          </w:p>
        </w:tc>
        <w:tc>
          <w:tcPr>
            <w:tcW w:type="dxa" w:w="1400"/>
            <w:tcMar>
              <w:top w:type="dxa" w:w="90"/>
              <w:left w:type="dxa" w:w="110"/>
              <w:bottom w:type="dxa" w:w="90"/>
              <w:right w:type="dxa" w:w="110"/>
            </w:tcMar>
            <w:vAlign w:val="center"/>
          </w:tcPr>
          <w:p>
            <w:r>
              <w:rPr>
                <w:b w:val="false"/>
                <w:bCs w:val="false"/>
                <w:color w:val="262626"/>
                <w:sz w:val="19"/>
                <w:szCs w:val="19"/>
              </w:rPr>
              <w:t xml:space="preserve">string</w:t>
            </w:r>
          </w:p>
        </w:tc>
        <w:tc>
          <w:tcPr>
            <w:tcW w:type="dxa" w:w="5200"/>
            <w:tcMar>
              <w:top w:type="dxa" w:w="90"/>
              <w:left w:type="dxa" w:w="110"/>
              <w:bottom w:type="dxa" w:w="90"/>
              <w:right w:type="dxa" w:w="110"/>
            </w:tcMar>
            <w:vAlign w:val="center"/>
          </w:tcPr>
          <w:p>
            <w:r>
              <w:rPr>
                <w:b w:val="false"/>
                <w:bCs w:val="false"/>
                <w:color w:val="262626"/>
                <w:sz w:val="19"/>
                <w:szCs w:val="19"/>
              </w:rPr>
              <w:t xml:space="preserve">Good, Revoked, Unknown o Unavailable</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extendedKeyUsages</w:t>
            </w:r>
          </w:p>
        </w:tc>
        <w:tc>
          <w:tcPr>
            <w:tcW w:type="dxa" w:w="1400"/>
            <w:tcMar>
              <w:top w:type="dxa" w:w="90"/>
              <w:left w:type="dxa" w:w="110"/>
              <w:bottom w:type="dxa" w:w="90"/>
              <w:right w:type="dxa" w:w="110"/>
            </w:tcMar>
            <w:vAlign w:val="center"/>
          </w:tcPr>
          <w:p>
            <w:r>
              <w:rPr>
                <w:b w:val="false"/>
                <w:bCs w:val="false"/>
                <w:color w:val="262626"/>
                <w:sz w:val="19"/>
                <w:szCs w:val="19"/>
              </w:rPr>
              <w:t xml:space="preserve">string[]</w:t>
            </w:r>
          </w:p>
        </w:tc>
        <w:tc>
          <w:tcPr>
            <w:tcW w:type="dxa" w:w="5200"/>
            <w:tcMar>
              <w:top w:type="dxa" w:w="90"/>
              <w:left w:type="dxa" w:w="110"/>
              <w:bottom w:type="dxa" w:w="90"/>
              <w:right w:type="dxa" w:w="110"/>
            </w:tcMar>
            <w:vAlign w:val="center"/>
          </w:tcPr>
          <w:p>
            <w:r>
              <w:rPr>
                <w:b w:val="false"/>
                <w:bCs w:val="false"/>
                <w:color w:val="262626"/>
                <w:sz w:val="19"/>
                <w:szCs w:val="19"/>
              </w:rPr>
              <w:t xml:space="preserve">OID de ExtendedKeyUsage que declara el certificado (siempre se reportan, aunque no se exijan)</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politicasCertificado</w:t>
            </w:r>
          </w:p>
        </w:tc>
        <w:tc>
          <w:tcPr>
            <w:tcW w:type="dxa" w:w="1400"/>
            <w:tcMar>
              <w:top w:type="dxa" w:w="90"/>
              <w:left w:type="dxa" w:w="110"/>
              <w:bottom w:type="dxa" w:w="90"/>
              <w:right w:type="dxa" w:w="110"/>
            </w:tcMar>
            <w:vAlign w:val="center"/>
          </w:tcPr>
          <w:p>
            <w:r>
              <w:rPr>
                <w:b w:val="false"/>
                <w:bCs w:val="false"/>
                <w:color w:val="262626"/>
                <w:sz w:val="19"/>
                <w:szCs w:val="19"/>
              </w:rPr>
              <w:t xml:space="preserve">string[]</w:t>
            </w:r>
          </w:p>
        </w:tc>
        <w:tc>
          <w:tcPr>
            <w:tcW w:type="dxa" w:w="5200"/>
            <w:tcMar>
              <w:top w:type="dxa" w:w="90"/>
              <w:left w:type="dxa" w:w="110"/>
              <w:bottom w:type="dxa" w:w="90"/>
              <w:right w:type="dxa" w:w="110"/>
            </w:tcMar>
            <w:vAlign w:val="center"/>
          </w:tcPr>
          <w:p>
            <w:r>
              <w:rPr>
                <w:b w:val="false"/>
                <w:bCs w:val="false"/>
                <w:color w:val="262626"/>
                <w:sz w:val="19"/>
                <w:szCs w:val="19"/>
              </w:rPr>
              <w:t xml:space="preserve">OID de CertificatePolicies que declara el certificado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estadoPolitica</w:t>
            </w:r>
          </w:p>
        </w:tc>
        <w:tc>
          <w:tcPr>
            <w:tcW w:type="dxa" w:w="1400"/>
            <w:tcMar>
              <w:top w:type="dxa" w:w="90"/>
              <w:left w:type="dxa" w:w="110"/>
              <w:bottom w:type="dxa" w:w="90"/>
              <w:right w:type="dxa" w:w="110"/>
            </w:tcMar>
            <w:vAlign w:val="center"/>
          </w:tcPr>
          <w:p>
            <w:r>
              <w:rPr>
                <w:b w:val="false"/>
                <w:bCs w:val="false"/>
                <w:color w:val="262626"/>
                <w:sz w:val="19"/>
                <w:szCs w:val="19"/>
              </w:rPr>
              <w:t xml:space="preserve">string</w:t>
            </w:r>
          </w:p>
        </w:tc>
        <w:tc>
          <w:tcPr>
            <w:tcW w:type="dxa" w:w="5200"/>
            <w:tcMar>
              <w:top w:type="dxa" w:w="90"/>
              <w:left w:type="dxa" w:w="110"/>
              <w:bottom w:type="dxa" w:w="90"/>
              <w:right w:type="dxa" w:w="110"/>
            </w:tcMar>
            <w:vAlign w:val="center"/>
          </w:tcPr>
          <w:p>
            <w:r>
              <w:rPr>
                <w:b w:val="false"/>
                <w:bCs w:val="false"/>
                <w:color w:val="262626"/>
                <w:sz w:val="19"/>
                <w:szCs w:val="19"/>
              </w:rPr>
              <w:t xml:space="preserve">SoloInformativa (por defecto, no afecta el resultado), Cumple o NoCumple, según la política configurada del lado de SecureSign</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estadoFinal</w:t>
            </w:r>
          </w:p>
        </w:tc>
        <w:tc>
          <w:tcPr>
            <w:tcW w:type="dxa" w:w="1400"/>
            <w:tcMar>
              <w:top w:type="dxa" w:w="90"/>
              <w:left w:type="dxa" w:w="110"/>
              <w:bottom w:type="dxa" w:w="90"/>
              <w:right w:type="dxa" w:w="110"/>
            </w:tcMar>
            <w:vAlign w:val="center"/>
          </w:tcPr>
          <w:p>
            <w:r>
              <w:rPr>
                <w:b w:val="false"/>
                <w:bCs w:val="false"/>
                <w:color w:val="262626"/>
                <w:sz w:val="19"/>
                <w:szCs w:val="19"/>
              </w:rPr>
              <w:t xml:space="preserve">bool</w:t>
            </w:r>
          </w:p>
        </w:tc>
        <w:tc>
          <w:tcPr>
            <w:tcW w:type="dxa" w:w="5200"/>
            <w:tcMar>
              <w:top w:type="dxa" w:w="90"/>
              <w:left w:type="dxa" w:w="110"/>
              <w:bottom w:type="dxa" w:w="90"/>
              <w:right w:type="dxa" w:w="110"/>
            </w:tcMar>
            <w:vAlign w:val="center"/>
          </w:tcPr>
          <w:p>
            <w:r>
              <w:rPr>
                <w:b w:val="false"/>
                <w:bCs w:val="false"/>
                <w:color w:val="262626"/>
                <w:sz w:val="19"/>
                <w:szCs w:val="19"/>
              </w:rPr>
              <w:t xml:space="preserve">true solo si la firma es válida Y el certificado pasó completa la validación de confianza IOFE</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evidencia</w:t>
            </w:r>
          </w:p>
        </w:tc>
        <w:tc>
          <w:tcPr>
            <w:tcW w:type="dxa" w:w="1400"/>
            <w:tcMar>
              <w:top w:type="dxa" w:w="90"/>
              <w:left w:type="dxa" w:w="110"/>
              <w:bottom w:type="dxa" w:w="90"/>
              <w:right w:type="dxa" w:w="110"/>
            </w:tcMar>
            <w:vAlign w:val="center"/>
          </w:tcPr>
          <w:p>
            <w:r>
              <w:rPr>
                <w:b w:val="false"/>
                <w:bCs w:val="false"/>
                <w:color w:val="262626"/>
                <w:sz w:val="19"/>
                <w:szCs w:val="19"/>
              </w:rPr>
              <w:t xml:space="preserve">string[]</w:t>
            </w:r>
          </w:p>
        </w:tc>
        <w:tc>
          <w:tcPr>
            <w:tcW w:type="dxa" w:w="5200"/>
            <w:tcMar>
              <w:top w:type="dxa" w:w="90"/>
              <w:left w:type="dxa" w:w="110"/>
              <w:bottom w:type="dxa" w:w="90"/>
              <w:right w:type="dxa" w:w="110"/>
            </w:tcMar>
            <w:vAlign w:val="center"/>
          </w:tcPr>
          <w:p>
            <w:r>
              <w:rPr>
                <w:b w:val="false"/>
                <w:bCs w:val="false"/>
                <w:color w:val="262626"/>
                <w:sz w:val="19"/>
                <w:szCs w:val="19"/>
              </w:rPr>
              <w:t xml:space="preserve">Detalle auditable, línea por línea, de cada comprobación — nunca solo un booleano</w:t>
            </w:r>
          </w:p>
        </w:tc>
      </w:tr>
      <w:tr>
        <w:tc>
          <w:tcPr>
            <w:tcW w:type="dxa" w:w="2600"/>
            <w:tcMar>
              <w:top w:type="dxa" w:w="90"/>
              <w:left w:type="dxa" w:w="110"/>
              <w:bottom w:type="dxa" w:w="90"/>
              <w:right w:type="dxa" w:w="110"/>
            </w:tcMar>
            <w:vAlign w:val="center"/>
          </w:tcPr>
          <w:p>
            <w:r>
              <w:rPr>
                <w:b w:val="false"/>
                <w:bCs w:val="false"/>
                <w:color w:val="262626"/>
                <w:sz w:val="19"/>
                <w:szCs w:val="19"/>
              </w:rPr>
              <w:t xml:space="preserve">error</w:t>
            </w:r>
          </w:p>
        </w:tc>
        <w:tc>
          <w:tcPr>
            <w:tcW w:type="dxa" w:w="1400"/>
            <w:tcMar>
              <w:top w:type="dxa" w:w="90"/>
              <w:left w:type="dxa" w:w="110"/>
              <w:bottom w:type="dxa" w:w="90"/>
              <w:right w:type="dxa" w:w="110"/>
            </w:tcMar>
            <w:vAlign w:val="center"/>
          </w:tcPr>
          <w:p>
            <w:r>
              <w:rPr>
                <w:b w:val="false"/>
                <w:bCs w:val="false"/>
                <w:color w:val="262626"/>
                <w:sz w:val="19"/>
                <w:szCs w:val="19"/>
              </w:rPr>
              <w:t xml:space="preserve">string | null</w:t>
            </w:r>
          </w:p>
        </w:tc>
        <w:tc>
          <w:tcPr>
            <w:tcW w:type="dxa" w:w="5200"/>
            <w:tcMar>
              <w:top w:type="dxa" w:w="90"/>
              <w:left w:type="dxa" w:w="110"/>
              <w:bottom w:type="dxa" w:w="90"/>
              <w:right w:type="dxa" w:w="110"/>
            </w:tcMar>
            <w:vAlign w:val="center"/>
          </w:tcPr>
          <w:p>
            <w:r>
              <w:rPr>
                <w:b w:val="false"/>
                <w:bCs w:val="false"/>
                <w:color w:val="262626"/>
                <w:sz w:val="19"/>
                <w:szCs w:val="19"/>
              </w:rPr>
              <w:t xml:space="preserve">Motivo del fallo, si estadoFinal es false</w:t>
            </w:r>
          </w:p>
        </w:tc>
      </w:tr>
    </w:tbl>
    <w:p>
      <w:pPr>
        <w:spacing w:after="160" w:line="300"/>
      </w:pPr>
      <w:r>
        <w:rPr>
          <w:b w:val="false"/>
          <w:bCs w:val="false"/>
          <w:i w:val="false"/>
          <w:iCs w:val="false"/>
          <w:sz w:val="21"/>
          <w:szCs w:val="21"/>
        </w:rPr>
        <w:t xml:space="preserve">El arreglo sellosDeArchivo (nivel raíz de la respuesta) documenta sellos de tiempo de archivo (PAdES-LTA) por separado: nunca afectan documentoValido, son evidencia adicional de que el documento (con su firma y su cadena de confianza embebida) ya existía en una fecha determinada.</w:t>
      </w:r>
    </w:p>
    <w:p>
      <w:pPr>
        <w:pBdr>
          <w:bottom w:val="single" w:color="BFBFBF" w:sz="4" w:space="1"/>
        </w:pBdr>
        <w:spacing w:after="200" w:before="100"/>
      </w:pPr>
      <w:r>
        <w:t xml:space="preserve"/>
      </w:r>
    </w:p>
    <w:p>
      <w:pPr>
        <w:spacing w:after="40" w:line="300"/>
        <w:jc w:val="center"/>
      </w:pPr>
      <w:r>
        <w:rPr>
          <w:b w:val="false"/>
          <w:bCs w:val="false"/>
          <w:i w:val="false"/>
          <w:iCs w:val="false"/>
          <w:color w:val="595959"/>
          <w:sz w:val="17"/>
          <w:szCs w:val="17"/>
        </w:rPr>
        <w:t xml:space="preserve">Manual técnico de integración de SecureSign Perú — para uso de equipos de desarrollo de sistemas externos.</w:t>
      </w:r>
    </w:p>
    <w:p>
      <w:pPr>
        <w:spacing w:after="160" w:line="300"/>
        <w:jc w:val="center"/>
      </w:pPr>
      <w:r>
        <w:rPr>
          <w:b w:val="false"/>
          <w:bCs w:val="false"/>
          <w:i/>
          <w:iCs/>
          <w:color w:val="595959"/>
          <w:sz w:val="17"/>
          <w:szCs w:val="17"/>
        </w:rPr>
        <w:t xml:space="preserve">Generado auditando el código fuente real de la plataforma en la fecha indicada en la portada; los endpoints y campos pueden ampliarse en versiones futuras — se documentará como [pendiente] todo lo que aún no exista.</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2026-09-27T22:29:43.712Z</dcterms:created>
  <dcterms:modified xsi:type="dcterms:W3CDTF">2026-09-27T22:29:43.712Z</dcterms:modified>
</cp:coreProperties>
</file>

<file path=docProps/custom.xml><?xml version="1.0" encoding="utf-8"?>
<Properties xmlns="http://schemas.openxmlformats.org/officeDocument/2006/custom-properties" xmlns:vt="http://schemas.openxmlformats.org/officeDocument/2006/docPropsVTypes"/>
</file>