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059B6927" w:rsidR="009714E8" w:rsidRPr="000B05B1" w:rsidRDefault="00B1117F" w:rsidP="00B1117F">
      <w:pPr>
        <w:pStyle w:val="Heading1"/>
        <w:rPr>
          <w:rFonts w:eastAsia="Times New Roman"/>
          <w:sz w:val="22"/>
          <w:szCs w:val="22"/>
        </w:rPr>
      </w:pPr>
      <w:r>
        <w:rPr>
          <w:color w:val="000000"/>
        </w:rP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rPr>
          <w:color w:val="000000"/>
        </w:rPr>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ascii="Calibri" w:hAnsi="Calibri"/>
                <w:b/>
                <w:bCs/>
                <w:color w:val="000000"/>
                <w:sz w:val="19"/>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ascii="Calibri" w:hAnsi="Calibri"/>
                <w:b/>
                <w:bCs/>
                <w:color w:val="000000"/>
                <w:sz w:val="19"/>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ascii="Calibri" w:hAnsi="Calibri"/>
                <w:b/>
                <w:bCs/>
                <w:color w:val="000000"/>
                <w:sz w:val="19"/>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ascii="Calibri" w:hAnsi="Calibri"/>
                <w:b/>
                <w:bCs/>
                <w:color w:val="000000"/>
                <w:sz w:val="19"/>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ascii="Calibri" w:hAnsi="Calibri"/>
                <w:b/>
                <w:bCs/>
                <w:color w:val="000000"/>
                <w:sz w:val="19"/>
              </w:rPr>
              <w:t>1.0</w:t>
            </w:r>
          </w:p>
        </w:tc>
        <w:tc>
          <w:tcPr>
            <w:tcW w:w="2337" w:type="dxa"/>
            <w:tcMar>
              <w:left w:w="115" w:type="dxa"/>
              <w:right w:w="115" w:type="dxa"/>
            </w:tcMar>
          </w:tcPr>
          <w:p>
            <w:r>
              <w:rPr>
                <w:rFonts w:ascii="Calibri" w:hAnsi="Calibri"/>
                <w:color w:val="000000"/>
                <w:sz w:val="19"/>
              </w:rPr>
              <w:t>09/18/2026</w:t>
            </w:r>
          </w:p>
        </w:tc>
        <w:tc>
          <w:tcPr>
            <w:tcW w:w="2338" w:type="dxa"/>
            <w:tcMar>
              <w:left w:w="115" w:type="dxa"/>
              <w:right w:w="115" w:type="dxa"/>
            </w:tcMar>
          </w:tcPr>
          <w:p>
            <w:r>
              <w:rPr>
                <w:rFonts w:ascii="Calibri" w:hAnsi="Calibri"/>
                <w:color w:val="000000"/>
                <w:sz w:val="19"/>
              </w:rPr>
              <w:t>Heri Lukambo</w:t>
            </w:r>
          </w:p>
        </w:tc>
        <w:tc>
          <w:tcPr>
            <w:tcW w:w="2338" w:type="dxa"/>
            <w:tcMar>
              <w:left w:w="115" w:type="dxa"/>
              <w:right w:w="115" w:type="dxa"/>
            </w:tcMar>
            <w:vAlign w:val="top"/>
          </w:tcPr>
          <w:p>
            <w:pPr>
              <w:spacing w:after="0"/>
            </w:pPr>
            <w:r/>
            <w:r>
              <w:rPr>
                <w:rFonts w:ascii="Calibri" w:hAnsi="Calibri"/>
                <w:b w:val="0"/>
                <w:color w:val="000000"/>
                <w:sz w:val="18"/>
              </w:rPr>
              <w:t>Final Project One vulnerability assessment with manual review, Dependency-Check results, evidence, and mitigation plan.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rPr>
          <w:color w:val="000000"/>
        </w:rPr>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color w:val="000000"/>
          <w:bdr w:val="none" w:sz="0" w:space="0" w:color="auto" w:frame="1"/>
          <w:shd w:val="clear" w:color="auto" w:fill="FFFFFF"/>
        </w:rPr>
        <w:fldChar w:fldCharType="begin"/>
      </w:r>
      <w:r w:rsidRPr="000B05B1">
        <w:rPr>
          <w:rFonts w:cstheme="minorHAnsi"/>
          <w:color w:val="000000"/>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color w:val="000000"/>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color w:val="000000"/>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rPr>
          <w:color w:val="000000"/>
        </w:rPr>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color w:val="000000"/>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color w:val="000000"/>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color w:val="000000"/>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color w:val="000000"/>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color w:val="000000"/>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rPr>
          <w:color w:val="000000"/>
        </w:rPr>
        <w:br w:type="page"/>
      </w:r>
    </w:p>
    <w:p w14:paraId="7549C261" w14:textId="04EC48F0" w:rsidR="00283077" w:rsidRPr="000B05B1" w:rsidRDefault="531DB269" w:rsidP="000B05B1">
      <w:pPr>
        <w:pStyle w:val="Heading2"/>
        <w:rPr>
          <w:rFonts w:eastAsiaTheme="minorEastAsia"/>
          <w:color w:val="000000" w:themeColor="text1"/>
        </w:rPr>
      </w:pPr>
      <w:r w:rsidRPr="000B05B1">
        <w:rPr>
          <w:color w:val="000000"/>
        </w:rPr>
        <w:lastRenderedPageBreak/>
        <w:t>Developer</w:t>
      </w:r>
    </w:p>
    <w:p w14:paraId="4EBFDCD8" w14:textId="5767FDC7" w:rsidR="531DB269" w:rsidRDefault="531DB269" w:rsidP="000B05B1">
      <w:pPr>
        <w:suppressAutoHyphens/>
        <w:spacing w:after="100" w:line="240" w:lineRule="auto"/>
        <w:contextualSpacing/>
        <w:rPr>
          <w:rFonts w:cstheme="minorHAnsi"/>
          <w:color w:val="000000" w:themeColor="text1"/>
        </w:rPr>
      </w:pPr>
      <w:r>
        <w:rPr>
          <w:rFonts w:ascii="Calibri" w:hAnsi="Calibri"/>
          <w:color w:val="000000"/>
          <w:sz w:val="21"/>
        </w:rPr>
        <w:t>Heri Lukambo</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keepNext/>
        <w:suppressAutoHyphens/>
        <w:spacing w:after="0" w:line="240" w:lineRule="auto"/>
        <w:contextualSpacing/>
        <w:rPr>
          <w:rFonts w:cstheme="minorHAnsi"/>
          <w:b/>
          <w:bCs/>
          <w:color w:val="000000" w:themeColor="text1"/>
        </w:rPr>
      </w:pPr>
      <w:r w:rsidRPr="000B05B1">
        <w:rPr>
          <w:rFonts w:cstheme="minorHAnsi"/>
          <w:b/>
          <w:bCs/>
          <w:color w:val="000000"/>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rPr>
        <w:t xml:space="preserve">Determine your client’s needs and potential threats and attacks associated with </w:t>
      </w:r>
      <w:r w:rsidR="3071CD31" w:rsidRPr="000B05B1">
        <w:rPr>
          <w:rFonts w:cstheme="minorHAnsi"/>
          <w:color w:val="000000"/>
        </w:rPr>
        <w:t>the company’s</w:t>
      </w:r>
      <w:r w:rsidRPr="000B05B1">
        <w:rPr>
          <w:rFonts w:cstheme="minorHAnsi"/>
          <w:color w:val="000000"/>
        </w:rPr>
        <w:t xml:space="preserve"> application and software security requirements. Consider the following </w:t>
      </w:r>
      <w:r w:rsidR="56ED763B" w:rsidRPr="000B05B1">
        <w:rPr>
          <w:rFonts w:cstheme="minorHAnsi"/>
          <w:color w:val="000000"/>
        </w:rPr>
        <w:t xml:space="preserve">questions </w:t>
      </w:r>
      <w:r w:rsidRPr="000B05B1">
        <w:rPr>
          <w:rFonts w:cstheme="minorHAnsi"/>
          <w:color w:val="000000"/>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rPr>
        <w:t xml:space="preserve">Are there governmental restrictions </w:t>
      </w:r>
      <w:r w:rsidR="46EAAD2A" w:rsidRPr="000B05B1">
        <w:rPr>
          <w:rFonts w:cstheme="minorHAnsi"/>
          <w:color w:val="000000"/>
        </w:rPr>
        <w:t>on</w:t>
      </w:r>
      <w:r w:rsidRPr="000B05B1">
        <w:rPr>
          <w:rFonts w:cstheme="minorHAnsi"/>
          <w:color w:val="000000"/>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rPr>
        <w:t xml:space="preserve">What modernization requirements must be considered, such as the role of </w:t>
      </w:r>
      <w:r w:rsidR="00FD26AD" w:rsidRPr="000B05B1">
        <w:rPr>
          <w:rFonts w:cstheme="minorHAnsi"/>
          <w:color w:val="000000"/>
        </w:rPr>
        <w:t>open</w:t>
      </w:r>
      <w:r w:rsidR="00BE22B6" w:rsidRPr="000B05B1">
        <w:rPr>
          <w:rFonts w:cstheme="minorHAnsi"/>
          <w:color w:val="000000"/>
        </w:rPr>
        <w:t>-</w:t>
      </w:r>
      <w:r w:rsidR="00FD26AD" w:rsidRPr="000B05B1">
        <w:rPr>
          <w:rFonts w:cstheme="minorHAnsi"/>
          <w:color w:val="000000"/>
        </w:rPr>
        <w:t>source</w:t>
      </w:r>
      <w:r w:rsidRPr="000B05B1">
        <w:rPr>
          <w:rFonts w:cstheme="minorHAnsi"/>
          <w:color w:val="000000"/>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6BA87F8" w:rsidR="531DB269" w:rsidRPr="000B05B1" w:rsidRDefault="531DB269" w:rsidP="000B05B1">
      <w:pPr>
        <w:suppressAutoHyphens/>
        <w:spacing w:after="100" w:line="240" w:lineRule="auto"/>
        <w:contextualSpacing/>
        <w:rPr>
          <w:rFonts w:cstheme="minorHAnsi"/>
          <w:color w:val="000000" w:themeColor="text1"/>
        </w:rPr>
      </w:pPr>
      <w:r>
        <w:rPr>
          <w:rFonts w:ascii="Calibri" w:hAnsi="Calibri"/>
          <w:color w:val="000000"/>
          <w:sz w:val="21"/>
        </w:rPr>
      </w:r>
      <w:r>
        <w:rPr>
          <w:rFonts w:ascii="Calibri" w:hAnsi="Calibri"/>
          <w:color w:val="000000"/>
          <w:sz w:val="21"/>
        </w:rPr>
        <w:t>Artemis Financial develops individualized financial plans that include savings, retirement, investments, and insurance. Because the application may process sensitive customer and financial information, secure communication is important to protect confidentiality, integrity, and customer trust. Data sent between a client and the web application should be protected from interception or modification, and access to financial information should be limited to authorized users.</w:t>
      </w:r>
    </w:p>
    <w:p/>
    <w:p>
      <w:pPr>
        <w:spacing w:after="100" w:line="240" w:lineRule="auto"/>
      </w:pPr>
      <w:r>
        <w:rPr>
          <w:rFonts w:ascii="Calibri" w:hAnsi="Calibri"/>
          <w:color w:val="000000"/>
          <w:sz w:val="21"/>
        </w:rPr>
        <w:t>The scenario does not state that Artemis Financial performs international transactions, so I would not assume that it does. If the company serves customers in multiple countries, the development team would need to confirm which privacy, financial, and data-protection requirements apply. The scenario also does not name a specific government communication restriction, so compliance requirements should be confirmed for the jurisdictions where the application is deployed rather than guessed.</w:t>
      </w:r>
    </w:p>
    <w:p/>
    <w:p>
      <w:pPr>
        <w:spacing w:after="100" w:line="240" w:lineRule="auto"/>
      </w:pPr>
      <w:r>
        <w:rPr>
          <w:rFonts w:ascii="Calibri" w:hAnsi="Calibri"/>
          <w:color w:val="000000"/>
          <w:sz w:val="21"/>
        </w:rPr>
        <w:t>Likely external threats include unauthorized access to REST endpoints, credential attacks, malicious or oversized input, exploitation of vulnerable open-source libraries, denial-of-service attempts, and interception of unencrypted network traffic. Because this is a web application, threats can also change as new vulnerabilities are discovered in frameworks, servers, and libraries.</w:t>
      </w:r>
    </w:p>
    <w:p/>
    <w:p>
      <w:pPr>
        <w:spacing w:after="100" w:line="240" w:lineRule="auto"/>
      </w:pPr>
      <w:r>
        <w:rPr>
          <w:rFonts w:ascii="Calibri" w:hAnsi="Calibri"/>
          <w:color w:val="000000"/>
          <w:sz w:val="21"/>
        </w:rPr>
        <w:t>Modernization should include using maintained versions of Spring Boot and other third-party libraries, protecting REST endpoints with authentication and authorization, validating client input, using HTTPS/TLS, limiting unnecessary application privileges, improving error handling, and performing regular dependency scans. Open-source libraries are useful because they speed development, but they also create a responsibility to monitor supported versions and known vulnerabilities.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keepNext/>
        <w:suppressAutoHyphens/>
        <w:spacing w:after="0" w:line="240" w:lineRule="auto"/>
        <w:contextualSpacing/>
        <w:rPr>
          <w:rFonts w:cstheme="minorHAnsi"/>
          <w:b/>
          <w:bCs/>
          <w:color w:val="000000" w:themeColor="text1"/>
        </w:rPr>
      </w:pPr>
      <w:r w:rsidRPr="000B05B1">
        <w:rPr>
          <w:rFonts w:cstheme="minorHAnsi"/>
          <w:b/>
          <w:bCs/>
          <w:color w:val="000000"/>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rPr>
        <w:t xml:space="preserve">Refer to the </w:t>
      </w:r>
      <w:r w:rsidR="00FE1ED3">
        <w:rPr>
          <w:rFonts w:cstheme="minorHAnsi"/>
          <w:color w:val="000000"/>
        </w:rPr>
        <w:t>v</w:t>
      </w:r>
      <w:r w:rsidRPr="000B05B1">
        <w:rPr>
          <w:rFonts w:cstheme="minorHAnsi"/>
          <w:color w:val="000000"/>
        </w:rPr>
        <w:t xml:space="preserve">ulnerability </w:t>
      </w:r>
      <w:r w:rsidR="00FE1ED3">
        <w:rPr>
          <w:rFonts w:cstheme="minorHAnsi"/>
          <w:color w:val="000000"/>
        </w:rPr>
        <w:t>a</w:t>
      </w:r>
      <w:r w:rsidRPr="000B05B1">
        <w:rPr>
          <w:rFonts w:cstheme="minorHAnsi"/>
          <w:color w:val="000000"/>
        </w:rPr>
        <w:t xml:space="preserve">ssessment </w:t>
      </w:r>
      <w:r w:rsidR="00FE1ED3">
        <w:rPr>
          <w:rFonts w:cstheme="minorHAnsi"/>
          <w:color w:val="000000"/>
        </w:rPr>
        <w:t>p</w:t>
      </w:r>
      <w:r w:rsidRPr="000B05B1">
        <w:rPr>
          <w:rFonts w:cstheme="minorHAnsi"/>
          <w:color w:val="000000"/>
        </w:rPr>
        <w:t xml:space="preserve">rocess </w:t>
      </w:r>
      <w:r w:rsidR="00FE1ED3">
        <w:rPr>
          <w:rFonts w:cstheme="minorHAnsi"/>
          <w:color w:val="000000"/>
        </w:rPr>
        <w:t>f</w:t>
      </w:r>
      <w:r w:rsidRPr="000B05B1">
        <w:rPr>
          <w:rFonts w:cstheme="minorHAnsi"/>
          <w:color w:val="000000"/>
        </w:rPr>
        <w:t xml:space="preserve">low </w:t>
      </w:r>
      <w:r w:rsidR="00FE1ED3">
        <w:rPr>
          <w:rFonts w:cstheme="minorHAnsi"/>
          <w:color w:val="000000"/>
        </w:rPr>
        <w:t>d</w:t>
      </w:r>
      <w:r w:rsidRPr="000B05B1">
        <w:rPr>
          <w:rFonts w:cstheme="minorHAnsi"/>
          <w:color w:val="000000"/>
        </w:rPr>
        <w:t>iagram</w:t>
      </w:r>
      <w:r w:rsidR="00FE651C">
        <w:rPr>
          <w:rFonts w:cstheme="minorHAnsi"/>
          <w:color w:val="000000"/>
        </w:rPr>
        <w:t>.</w:t>
      </w:r>
      <w:r w:rsidRPr="000B05B1">
        <w:rPr>
          <w:rFonts w:cstheme="minorHAnsi"/>
          <w:color w:val="000000"/>
        </w:rPr>
        <w:t xml:space="preserve"> </w:t>
      </w:r>
      <w:r w:rsidR="00FE651C">
        <w:rPr>
          <w:rFonts w:cstheme="minorHAnsi"/>
          <w:color w:val="000000"/>
        </w:rPr>
        <w:t>I</w:t>
      </w:r>
      <w:r w:rsidRPr="000B05B1">
        <w:rPr>
          <w:rFonts w:cstheme="minorHAnsi"/>
          <w:color w:val="000000"/>
        </w:rPr>
        <w:t>dentify which areas of security appl</w:t>
      </w:r>
      <w:r w:rsidR="70A6CD78" w:rsidRPr="000B05B1">
        <w:rPr>
          <w:rFonts w:cstheme="minorHAnsi"/>
          <w:color w:val="000000"/>
        </w:rPr>
        <w:t>y</w:t>
      </w:r>
      <w:r w:rsidRPr="000B05B1">
        <w:rPr>
          <w:rFonts w:cstheme="minorHAnsi"/>
          <w:color w:val="000000"/>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0741E421" w:rsidR="531DB269" w:rsidRPr="000B05B1" w:rsidRDefault="531DB269" w:rsidP="000B05B1">
      <w:pPr>
        <w:suppressAutoHyphens/>
        <w:spacing w:after="100" w:line="240" w:lineRule="auto"/>
        <w:contextualSpacing/>
        <w:rPr>
          <w:rFonts w:cstheme="minorHAnsi"/>
          <w:color w:val="000000" w:themeColor="text1"/>
        </w:rPr>
      </w:pPr>
      <w:r>
        <w:rPr>
          <w:rFonts w:ascii="Calibri" w:hAnsi="Calibri"/>
          <w:color w:val="000000"/>
          <w:sz w:val="21"/>
        </w:rPr>
      </w:r>
      <w:r>
        <w:rPr>
          <w:rFonts w:ascii="Calibri" w:hAnsi="Calibri"/>
          <w:color w:val="000000"/>
          <w:sz w:val="21"/>
        </w:rPr>
        <w:t>The vulnerability assessment process flow identifies seven architecture-level security areas: Input Validation, APIs, Cryptography, Client/Server, Code Error, Code Quality, and Encapsulation. For this application, each area is relevant because the code accepts client input, exposes REST endpoints, includes a cryptography library, connects a client to a server and database, handles exceptions, depends on coding practices and third-party components, and stores customer-related data in Java classes.</w:t>
      </w:r>
    </w:p>
    <w:p/>
    <w:p>
      <w:pPr>
        <w:spacing w:after="100" w:line="240" w:lineRule="auto"/>
      </w:pPr>
      <w:r>
        <w:rPr>
          <w:rFonts w:ascii="Calibri" w:hAnsi="Calibri"/>
          <w:b/>
          <w:color w:val="000000"/>
          <w:sz w:val="21"/>
        </w:rPr>
        <w:t>Input Validation:</w:t>
      </w:r>
      <w:r>
        <w:rPr>
          <w:rFonts w:ascii="Calibri" w:hAnsi="Calibri"/>
          <w:color w:val="000000"/>
          <w:sz w:val="21"/>
        </w:rPr>
        <w:t xml:space="preserve"> The /read and /greeting endpoints accept request parameters from clients, and customer.deposit() accepts an integer value. These inputs should be validated for expected type, range, length, and business rules before they are processed.</w:t>
      </w:r>
    </w:p>
    <w:p/>
    <w:p>
      <w:pPr>
        <w:spacing w:after="100" w:line="240" w:lineRule="auto"/>
      </w:pPr>
      <w:r>
        <w:rPr>
          <w:rFonts w:ascii="Calibri" w:hAnsi="Calibri"/>
          <w:b/>
          <w:color w:val="000000"/>
          <w:sz w:val="21"/>
        </w:rPr>
        <w:t>APIs:</w:t>
      </w:r>
      <w:r>
        <w:rPr>
          <w:rFonts w:ascii="Calibri" w:hAnsi="Calibri"/>
          <w:color w:val="000000"/>
          <w:sz w:val="21"/>
        </w:rPr>
        <w:t xml:space="preserve"> CRUDController and GreetingController expose REST endpoints. API security matters because client requests are untrusted, and sensitive functions should require authentication and authorization.</w:t>
      </w:r>
    </w:p>
    <w:p/>
    <w:p>
      <w:pPr>
        <w:spacing w:after="100" w:line="240" w:lineRule="auto"/>
      </w:pPr>
      <w:r>
        <w:rPr>
          <w:rFonts w:ascii="Calibri" w:hAnsi="Calibri"/>
          <w:b/>
          <w:color w:val="000000"/>
          <w:sz w:val="21"/>
        </w:rPr>
        <w:t>Cryptography:</w:t>
      </w:r>
      <w:r>
        <w:rPr>
          <w:rFonts w:ascii="Calibri" w:hAnsi="Calibri"/>
          <w:color w:val="000000"/>
          <w:sz w:val="21"/>
        </w:rPr>
        <w:t xml:space="preserve"> The pom.xml includes Bouncy Castle (bcprov-jdk15on 1.46), while the application itself does not show TLS configuration. Financial information should be protected in transit and cryptographic libraries should be maintained.</w:t>
      </w:r>
    </w:p>
    <w:p/>
    <w:p>
      <w:pPr>
        <w:spacing w:after="100" w:line="240" w:lineRule="auto"/>
      </w:pPr>
      <w:r>
        <w:rPr>
          <w:rFonts w:ascii="Calibri" w:hAnsi="Calibri"/>
          <w:b/>
          <w:color w:val="000000"/>
          <w:sz w:val="21"/>
        </w:rPr>
        <w:t>Client/Server:</w:t>
      </w:r>
      <w:r>
        <w:rPr>
          <w:rFonts w:ascii="Calibri" w:hAnsi="Calibri"/>
          <w:color w:val="000000"/>
          <w:sz w:val="21"/>
        </w:rPr>
        <w:t xml:space="preserve"> The Spring Boot server receives HTTP requests from clients and also opens a database connection. Both network boundaries need secure configuration, least privilege, and protection from unauthorized access.</w:t>
      </w:r>
    </w:p>
    <w:p/>
    <w:p>
      <w:pPr>
        <w:spacing w:after="100" w:line="240" w:lineRule="auto"/>
      </w:pPr>
      <w:r>
        <w:rPr>
          <w:rFonts w:ascii="Calibri" w:hAnsi="Calibri"/>
          <w:b/>
          <w:color w:val="000000"/>
          <w:sz w:val="21"/>
        </w:rPr>
        <w:t>Code Error:</w:t>
      </w:r>
      <w:r>
        <w:rPr>
          <w:rFonts w:ascii="Calibri" w:hAnsi="Calibri"/>
          <w:color w:val="000000"/>
          <w:sz w:val="21"/>
        </w:rPr>
        <w:t xml:space="preserve"> DocData.java catches SQLException and calls printStackTrace(). Detailed internal errors should not be exposed, and resources should be closed reliably when exceptions occur.</w:t>
      </w:r>
    </w:p>
    <w:p/>
    <w:p>
      <w:pPr>
        <w:spacing w:after="100" w:line="240" w:lineRule="auto"/>
      </w:pPr>
      <w:r>
        <w:rPr>
          <w:rFonts w:ascii="Calibri" w:hAnsi="Calibri"/>
          <w:b/>
          <w:color w:val="000000"/>
          <w:sz w:val="21"/>
        </w:rPr>
        <w:t>Code Quality:</w:t>
      </w:r>
      <w:r>
        <w:rPr>
          <w:rFonts w:ascii="Calibri" w:hAnsi="Calibri"/>
          <w:color w:val="000000"/>
          <w:sz w:val="21"/>
        </w:rPr>
        <w:t xml:space="preserve"> Secure coding practices include dependency maintenance, input validation, controlled error handling, least privilege, and resource management. Several of these areas can be improved in the current code.</w:t>
      </w:r>
    </w:p>
    <w:p/>
    <w:p>
      <w:pPr>
        <w:spacing w:after="100" w:line="240" w:lineRule="auto"/>
      </w:pPr>
      <w:r>
        <w:rPr>
          <w:rFonts w:ascii="Calibri" w:hAnsi="Calibri"/>
          <w:b/>
          <w:color w:val="000000"/>
          <w:sz w:val="21"/>
        </w:rPr>
        <w:t>Encapsulation:</w:t>
      </w:r>
      <w:r>
        <w:rPr>
          <w:rFonts w:ascii="Calibri" w:hAnsi="Calibri"/>
          <w:color w:val="000000"/>
          <w:sz w:val="21"/>
        </w:rPr>
        <w:t xml:space="preserve"> Greeting and CRUD use private final fields, which is a positive practice. However, customer.account_balance has package-level access and can be modified without going through a controlled method.</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keepNext/>
        <w:suppressAutoHyphens/>
        <w:spacing w:after="0" w:line="240" w:lineRule="auto"/>
        <w:contextualSpacing/>
        <w:rPr>
          <w:rFonts w:cstheme="minorHAnsi"/>
          <w:b/>
          <w:bCs/>
          <w:color w:val="000000" w:themeColor="text1"/>
        </w:rPr>
      </w:pPr>
      <w:r w:rsidRPr="000B05B1">
        <w:rPr>
          <w:rFonts w:cstheme="minorHAnsi"/>
          <w:b/>
          <w:bCs/>
          <w:color w:val="000000"/>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rPr>
        <w:t xml:space="preserve">Continue working through the </w:t>
      </w:r>
      <w:r w:rsidR="004333E0">
        <w:rPr>
          <w:rFonts w:cstheme="minorHAnsi"/>
          <w:color w:val="000000"/>
        </w:rPr>
        <w:t>v</w:t>
      </w:r>
      <w:r w:rsidR="004333E0" w:rsidRPr="000B05B1">
        <w:rPr>
          <w:rFonts w:cstheme="minorHAnsi"/>
          <w:color w:val="000000"/>
        </w:rPr>
        <w:t xml:space="preserve">ulnerability </w:t>
      </w:r>
      <w:r w:rsidR="004333E0">
        <w:rPr>
          <w:rFonts w:cstheme="minorHAnsi"/>
          <w:color w:val="000000"/>
        </w:rPr>
        <w:t>a</w:t>
      </w:r>
      <w:r w:rsidR="004333E0" w:rsidRPr="000B05B1">
        <w:rPr>
          <w:rFonts w:cstheme="minorHAnsi"/>
          <w:color w:val="000000"/>
        </w:rPr>
        <w:t xml:space="preserve">ssessment </w:t>
      </w:r>
      <w:r w:rsidR="004333E0">
        <w:rPr>
          <w:rFonts w:cstheme="minorHAnsi"/>
          <w:color w:val="000000"/>
        </w:rPr>
        <w:t>p</w:t>
      </w:r>
      <w:r w:rsidR="004333E0" w:rsidRPr="000B05B1">
        <w:rPr>
          <w:rFonts w:cstheme="minorHAnsi"/>
          <w:color w:val="000000"/>
        </w:rPr>
        <w:t xml:space="preserve">rocess </w:t>
      </w:r>
      <w:r w:rsidR="004333E0">
        <w:rPr>
          <w:rFonts w:cstheme="minorHAnsi"/>
          <w:color w:val="000000"/>
        </w:rPr>
        <w:t>f</w:t>
      </w:r>
      <w:r w:rsidR="004333E0" w:rsidRPr="000B05B1">
        <w:rPr>
          <w:rFonts w:cstheme="minorHAnsi"/>
          <w:color w:val="000000"/>
        </w:rPr>
        <w:t xml:space="preserve">low </w:t>
      </w:r>
      <w:r w:rsidR="004333E0">
        <w:rPr>
          <w:rFonts w:cstheme="minorHAnsi"/>
          <w:color w:val="000000"/>
        </w:rPr>
        <w:t>d</w:t>
      </w:r>
      <w:r w:rsidR="004333E0" w:rsidRPr="000B05B1">
        <w:rPr>
          <w:rFonts w:cstheme="minorHAnsi"/>
          <w:color w:val="000000"/>
        </w:rPr>
        <w:t>iagram</w:t>
      </w:r>
      <w:r w:rsidRPr="000B05B1">
        <w:rPr>
          <w:rFonts w:cstheme="minorHAnsi"/>
          <w:color w:val="000000"/>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BDCD282" w:rsidR="531DB269" w:rsidRPr="000B05B1" w:rsidRDefault="531DB269" w:rsidP="000B05B1">
      <w:pPr>
        <w:suppressAutoHyphens/>
        <w:spacing w:after="100" w:line="240" w:lineRule="auto"/>
        <w:contextualSpacing/>
        <w:rPr>
          <w:rFonts w:cstheme="minorHAnsi"/>
          <w:color w:val="000000" w:themeColor="text1"/>
        </w:rPr>
      </w:pPr>
      <w:r>
        <w:rPr>
          <w:rFonts w:ascii="Calibri" w:hAnsi="Calibri"/>
          <w:color w:val="000000"/>
          <w:sz w:val="21"/>
        </w:rPr>
        <w:t>The manual review focused on the controllers, data-access code, models, configuration, APIs, and Maven dependencies identified by the assessment process. I found the following ten security concerns.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76"/>
            <w:vAlign w:val="top"/>
            <w:shd w:fill="E7E6E6"/>
          </w:tcPr>
          <w:p>
            <w:pPr>
              <w:spacing w:after="0"/>
            </w:pPr>
            <w:r/>
            <w:r>
              <w:rPr>
                <w:rFonts w:ascii="Calibri" w:hAnsi="Calibri"/>
                <w:b/>
                <w:color w:val="000000"/>
                <w:sz w:val="18"/>
              </w:rPr>
              <w:t>Location</w:t>
            </w:r>
          </w:p>
        </w:tc>
        <w:tc>
          <w:tcPr>
            <w:tcW w:type="dxa" w:w="2592"/>
            <w:vAlign w:val="top"/>
            <w:shd w:fill="E7E6E6"/>
          </w:tcPr>
          <w:p>
            <w:pPr>
              <w:spacing w:after="0"/>
            </w:pPr>
            <w:r/>
            <w:r>
              <w:rPr>
                <w:rFonts w:ascii="Calibri" w:hAnsi="Calibri"/>
                <w:b/>
                <w:color w:val="000000"/>
                <w:sz w:val="18"/>
              </w:rPr>
              <w:t>Finding</w:t>
            </w:r>
          </w:p>
        </w:tc>
        <w:tc>
          <w:tcPr>
            <w:tcW w:type="dxa" w:w="5040"/>
            <w:vAlign w:val="top"/>
            <w:shd w:fill="E7E6E6"/>
          </w:tcPr>
          <w:p>
            <w:pPr>
              <w:spacing w:after="0"/>
            </w:pPr>
            <w:r/>
            <w:r>
              <w:rPr>
                <w:rFonts w:ascii="Calibri" w:hAnsi="Calibri"/>
                <w:b/>
                <w:color w:val="000000"/>
                <w:sz w:val="18"/>
              </w:rPr>
              <w:t>Why It Matters</w:t>
            </w:r>
          </w:p>
        </w:tc>
      </w:tr>
      <w:tr>
        <w:tc>
          <w:tcPr>
            <w:tcW w:type="dxa" w:w="3120"/>
            <w:vAlign w:val="top"/>
          </w:tcPr>
          <w:p>
            <w:pPr>
              <w:spacing w:after="0"/>
            </w:pPr>
            <w:r/>
            <w:r>
              <w:rPr>
                <w:rFonts w:ascii="Calibri" w:hAnsi="Calibri"/>
                <w:b w:val="0"/>
                <w:color w:val="000000"/>
                <w:sz w:val="18"/>
              </w:rPr>
              <w:t>DocData.java, lines 26-27</w:t>
            </w:r>
          </w:p>
        </w:tc>
        <w:tc>
          <w:tcPr>
            <w:tcW w:type="dxa" w:w="3120"/>
            <w:vAlign w:val="top"/>
          </w:tcPr>
          <w:p>
            <w:pPr>
              <w:spacing w:after="0"/>
            </w:pPr>
            <w:r/>
            <w:r>
              <w:rPr>
                <w:rFonts w:ascii="Calibri" w:hAnsi="Calibri"/>
                <w:b/>
                <w:color w:val="000000"/>
                <w:sz w:val="18"/>
              </w:rPr>
              <w:t>Hard-coded database credentials</w:t>
            </w:r>
          </w:p>
        </w:tc>
        <w:tc>
          <w:tcPr>
            <w:tcW w:type="dxa" w:w="3120"/>
            <w:vAlign w:val="top"/>
          </w:tcPr>
          <w:p>
            <w:pPr>
              <w:spacing w:after="0"/>
            </w:pPr>
            <w:r/>
            <w:r>
              <w:rPr>
                <w:rFonts w:ascii="Calibri" w:hAnsi="Calibri"/>
                <w:b w:val="0"/>
                <w:color w:val="000000"/>
                <w:sz w:val="18"/>
              </w:rPr>
              <w:t>The MySQL username and password are stored directly in source code as "root"/"root". Source-controlled credentials can be exposed to developers, attackers, or anyone who obtains the application files.</w:t>
            </w:r>
          </w:p>
        </w:tc>
      </w:tr>
      <w:tr>
        <w:tc>
          <w:tcPr>
            <w:tcW w:type="dxa" w:w="3120"/>
            <w:vAlign w:val="top"/>
          </w:tcPr>
          <w:p>
            <w:pPr>
              <w:spacing w:after="0"/>
            </w:pPr>
            <w:r/>
            <w:r>
              <w:rPr>
                <w:rFonts w:ascii="Calibri" w:hAnsi="Calibri"/>
                <w:b w:val="0"/>
                <w:color w:val="000000"/>
                <w:sz w:val="18"/>
              </w:rPr>
              <w:t>DocData.java, lines 26-27</w:t>
            </w:r>
          </w:p>
        </w:tc>
        <w:tc>
          <w:tcPr>
            <w:tcW w:type="dxa" w:w="3120"/>
            <w:vAlign w:val="top"/>
          </w:tcPr>
          <w:p>
            <w:pPr>
              <w:spacing w:after="0"/>
            </w:pPr>
            <w:r/>
            <w:r>
              <w:rPr>
                <w:rFonts w:ascii="Calibri" w:hAnsi="Calibri"/>
                <w:b/>
                <w:color w:val="000000"/>
                <w:sz w:val="18"/>
              </w:rPr>
              <w:t>Database connection uses root account</w:t>
            </w:r>
          </w:p>
        </w:tc>
        <w:tc>
          <w:tcPr>
            <w:tcW w:type="dxa" w:w="3120"/>
            <w:vAlign w:val="top"/>
          </w:tcPr>
          <w:p>
            <w:pPr>
              <w:spacing w:after="0"/>
            </w:pPr>
            <w:r/>
            <w:r>
              <w:rPr>
                <w:rFonts w:ascii="Calibri" w:hAnsi="Calibri"/>
                <w:b w:val="0"/>
                <w:color w:val="000000"/>
                <w:sz w:val="18"/>
              </w:rPr>
              <w:t>Using a highly privileged database account violates least privilege. If the application or credentials are compromised, the attacker could receive more database permissions than the application actually needs.</w:t>
            </w:r>
          </w:p>
        </w:tc>
      </w:tr>
      <w:tr>
        <w:tc>
          <w:tcPr>
            <w:tcW w:type="dxa" w:w="3120"/>
            <w:vAlign w:val="top"/>
          </w:tcPr>
          <w:p>
            <w:pPr>
              <w:spacing w:after="0"/>
            </w:pPr>
            <w:r/>
            <w:r>
              <w:rPr>
                <w:rFonts w:ascii="Calibri" w:hAnsi="Calibri"/>
                <w:b w:val="0"/>
                <w:color w:val="000000"/>
                <w:sz w:val="18"/>
              </w:rPr>
              <w:t>DocData.java, lines 25-31</w:t>
            </w:r>
          </w:p>
        </w:tc>
        <w:tc>
          <w:tcPr>
            <w:tcW w:type="dxa" w:w="3120"/>
            <w:vAlign w:val="top"/>
          </w:tcPr>
          <w:p>
            <w:pPr>
              <w:spacing w:after="0"/>
            </w:pPr>
            <w:r/>
            <w:r>
              <w:rPr>
                <w:rFonts w:ascii="Calibri" w:hAnsi="Calibri"/>
                <w:b/>
                <w:color w:val="000000"/>
                <w:sz w:val="18"/>
              </w:rPr>
              <w:t>Database connection is not closed</w:t>
            </w:r>
          </w:p>
        </w:tc>
        <w:tc>
          <w:tcPr>
            <w:tcW w:type="dxa" w:w="3120"/>
            <w:vAlign w:val="top"/>
          </w:tcPr>
          <w:p>
            <w:pPr>
              <w:spacing w:after="0"/>
            </w:pPr>
            <w:r/>
            <w:r>
              <w:rPr>
                <w:rFonts w:ascii="Calibri" w:hAnsi="Calibri"/>
                <w:b w:val="0"/>
                <w:color w:val="000000"/>
                <w:sz w:val="18"/>
              </w:rPr>
              <w:t>The connection is created without try-with-resources or an explicit close. Repeated requests can consume database connections and affect availability.</w:t>
            </w:r>
          </w:p>
        </w:tc>
      </w:tr>
      <w:tr>
        <w:tc>
          <w:tcPr>
            <w:tcW w:type="dxa" w:w="3120"/>
            <w:vAlign w:val="top"/>
          </w:tcPr>
          <w:p>
            <w:pPr>
              <w:spacing w:after="0"/>
            </w:pPr>
            <w:r/>
            <w:r>
              <w:rPr>
                <w:rFonts w:ascii="Calibri" w:hAnsi="Calibri"/>
                <w:b w:val="0"/>
                <w:color w:val="000000"/>
                <w:sz w:val="18"/>
              </w:rPr>
              <w:t>DocData.java, lines 28-30</w:t>
            </w:r>
          </w:p>
        </w:tc>
        <w:tc>
          <w:tcPr>
            <w:tcW w:type="dxa" w:w="3120"/>
            <w:vAlign w:val="top"/>
          </w:tcPr>
          <w:p>
            <w:pPr>
              <w:spacing w:after="0"/>
            </w:pPr>
            <w:r/>
            <w:r>
              <w:rPr>
                <w:rFonts w:ascii="Calibri" w:hAnsi="Calibri"/>
                <w:b/>
                <w:color w:val="000000"/>
                <w:sz w:val="18"/>
              </w:rPr>
              <w:t>Raw stack trace on SQL errors</w:t>
            </w:r>
          </w:p>
        </w:tc>
        <w:tc>
          <w:tcPr>
            <w:tcW w:type="dxa" w:w="3120"/>
            <w:vAlign w:val="top"/>
          </w:tcPr>
          <w:p>
            <w:pPr>
              <w:spacing w:after="0"/>
            </w:pPr>
            <w:r/>
            <w:r>
              <w:rPr>
                <w:rFonts w:ascii="Calibri" w:hAnsi="Calibri"/>
                <w:b w:val="0"/>
                <w:color w:val="000000"/>
                <w:sz w:val="18"/>
              </w:rPr>
              <w:t>printStackTrace() can reveal internal class, database, and system information. Production applications should use controlled logging and generic client-facing errors.</w:t>
            </w:r>
          </w:p>
        </w:tc>
      </w:tr>
      <w:tr>
        <w:tc>
          <w:tcPr>
            <w:tcW w:type="dxa" w:w="3120"/>
            <w:vAlign w:val="top"/>
          </w:tcPr>
          <w:p>
            <w:pPr>
              <w:spacing w:after="0"/>
            </w:pPr>
            <w:r/>
            <w:r>
              <w:rPr>
                <w:rFonts w:ascii="Calibri" w:hAnsi="Calibri"/>
                <w:b w:val="0"/>
                <w:color w:val="000000"/>
                <w:sz w:val="18"/>
              </w:rPr>
              <w:t>CRUDController.java and GreetingController.java</w:t>
            </w:r>
          </w:p>
        </w:tc>
        <w:tc>
          <w:tcPr>
            <w:tcW w:type="dxa" w:w="3120"/>
            <w:vAlign w:val="top"/>
          </w:tcPr>
          <w:p>
            <w:pPr>
              <w:spacing w:after="0"/>
            </w:pPr>
            <w:r/>
            <w:r>
              <w:rPr>
                <w:rFonts w:ascii="Calibri" w:hAnsi="Calibri"/>
                <w:b/>
                <w:color w:val="000000"/>
                <w:sz w:val="18"/>
              </w:rPr>
              <w:t>No visible authentication or authorization</w:t>
            </w:r>
          </w:p>
        </w:tc>
        <w:tc>
          <w:tcPr>
            <w:tcW w:type="dxa" w:w="3120"/>
            <w:vAlign w:val="top"/>
          </w:tcPr>
          <w:p>
            <w:pPr>
              <w:spacing w:after="0"/>
            </w:pPr>
            <w:r/>
            <w:r>
              <w:rPr>
                <w:rFonts w:ascii="Calibri" w:hAnsi="Calibri"/>
                <w:b w:val="0"/>
                <w:color w:val="000000"/>
                <w:sz w:val="18"/>
              </w:rPr>
              <w:t>The REST endpoints are exposed without security annotations or another visible access-control mechanism. Sensitive financial functions should not be available to unauthenticated or unauthorized clients.</w:t>
            </w:r>
          </w:p>
        </w:tc>
      </w:tr>
      <w:tr>
        <w:tc>
          <w:tcPr>
            <w:tcW w:type="dxa" w:w="3120"/>
            <w:vAlign w:val="top"/>
          </w:tcPr>
          <w:p>
            <w:pPr>
              <w:spacing w:after="0"/>
            </w:pPr>
            <w:r/>
            <w:r>
              <w:rPr>
                <w:rFonts w:ascii="Calibri" w:hAnsi="Calibri"/>
                <w:b w:val="0"/>
                <w:color w:val="000000"/>
                <w:sz w:val="18"/>
              </w:rPr>
              <w:t>CRUDController.java, lines 12-16</w:t>
            </w:r>
          </w:p>
        </w:tc>
        <w:tc>
          <w:tcPr>
            <w:tcW w:type="dxa" w:w="3120"/>
            <w:vAlign w:val="top"/>
          </w:tcPr>
          <w:p>
            <w:pPr>
              <w:spacing w:after="0"/>
            </w:pPr>
            <w:r/>
            <w:r>
              <w:rPr>
                <w:rFonts w:ascii="Calibri" w:hAnsi="Calibri"/>
                <w:b/>
                <w:color w:val="000000"/>
                <w:sz w:val="18"/>
              </w:rPr>
              <w:t>Unvalidated business_name request parameter</w:t>
            </w:r>
          </w:p>
        </w:tc>
        <w:tc>
          <w:tcPr>
            <w:tcW w:type="dxa" w:w="3120"/>
            <w:vAlign w:val="top"/>
          </w:tcPr>
          <w:p>
            <w:pPr>
              <w:spacing w:after="0"/>
            </w:pPr>
            <w:r/>
            <w:r>
              <w:rPr>
                <w:rFonts w:ascii="Calibri" w:hAnsi="Calibri"/>
                <w:b w:val="0"/>
                <w:color w:val="000000"/>
                <w:sz w:val="18"/>
              </w:rPr>
              <w:t>The endpoint accepts client-controlled text with no length, format, or character restrictions. Even though this version does not use the value in a query, client input should be validated before future processing.</w:t>
            </w:r>
          </w:p>
        </w:tc>
      </w:tr>
      <w:tr>
        <w:tc>
          <w:tcPr>
            <w:tcW w:type="dxa" w:w="3120"/>
            <w:vAlign w:val="top"/>
          </w:tcPr>
          <w:p>
            <w:pPr>
              <w:spacing w:after="0"/>
            </w:pPr>
            <w:r/>
            <w:r>
              <w:rPr>
                <w:rFonts w:ascii="Calibri" w:hAnsi="Calibri"/>
                <w:b w:val="0"/>
                <w:color w:val="000000"/>
                <w:sz w:val="18"/>
              </w:rPr>
              <w:t>GreetingController.java, lines 15-17</w:t>
            </w:r>
          </w:p>
        </w:tc>
        <w:tc>
          <w:tcPr>
            <w:tcW w:type="dxa" w:w="3120"/>
            <w:vAlign w:val="top"/>
          </w:tcPr>
          <w:p>
            <w:pPr>
              <w:spacing w:after="0"/>
            </w:pPr>
            <w:r/>
            <w:r>
              <w:rPr>
                <w:rFonts w:ascii="Calibri" w:hAnsi="Calibri"/>
                <w:b/>
                <w:color w:val="000000"/>
                <w:sz w:val="18"/>
              </w:rPr>
              <w:t>Unbounded name input is reflected in output</w:t>
            </w:r>
          </w:p>
        </w:tc>
        <w:tc>
          <w:tcPr>
            <w:tcW w:type="dxa" w:w="3120"/>
            <w:vAlign w:val="top"/>
          </w:tcPr>
          <w:p>
            <w:pPr>
              <w:spacing w:after="0"/>
            </w:pPr>
            <w:r/>
            <w:r>
              <w:rPr>
                <w:rFonts w:ascii="Calibri" w:hAnsi="Calibri"/>
                <w:b w:val="0"/>
                <w:color w:val="000000"/>
                <w:sz w:val="18"/>
              </w:rPr>
              <w:t>The name parameter has no length or format limits and is inserted into the returned content. Restricting request size and expected input reduces abuse and unsafe downstream rendering.</w:t>
            </w:r>
          </w:p>
        </w:tc>
      </w:tr>
      <w:tr>
        <w:tc>
          <w:tcPr>
            <w:tcW w:type="dxa" w:w="3120"/>
            <w:vAlign w:val="top"/>
          </w:tcPr>
          <w:p>
            <w:pPr>
              <w:spacing w:after="0"/>
            </w:pPr>
            <w:r/>
            <w:r>
              <w:rPr>
                <w:rFonts w:ascii="Calibri" w:hAnsi="Calibri"/>
                <w:b w:val="0"/>
                <w:color w:val="000000"/>
                <w:sz w:val="18"/>
              </w:rPr>
              <w:t>application.properties, lines 3-12</w:t>
            </w:r>
          </w:p>
        </w:tc>
        <w:tc>
          <w:tcPr>
            <w:tcW w:type="dxa" w:w="3120"/>
            <w:vAlign w:val="top"/>
          </w:tcPr>
          <w:p>
            <w:pPr>
              <w:spacing w:after="0"/>
            </w:pPr>
            <w:r/>
            <w:r>
              <w:rPr>
                <w:rFonts w:ascii="Calibri" w:hAnsi="Calibri"/>
                <w:b/>
                <w:color w:val="000000"/>
                <w:sz w:val="18"/>
              </w:rPr>
              <w:t>Large multipart upload limits</w:t>
            </w:r>
          </w:p>
        </w:tc>
        <w:tc>
          <w:tcPr>
            <w:tcW w:type="dxa" w:w="3120"/>
            <w:vAlign w:val="top"/>
          </w:tcPr>
          <w:p>
            <w:pPr>
              <w:spacing w:after="0"/>
            </w:pPr>
            <w:r/>
            <w:r>
              <w:rPr>
                <w:rFonts w:ascii="Calibri" w:hAnsi="Calibri"/>
                <w:b w:val="0"/>
                <w:color w:val="000000"/>
                <w:sz w:val="18"/>
              </w:rPr>
              <w:t>Multipart uploads are enabled with a 200 MB file limit and 215 MB request limit. Large requests can consume memory, disk, or processing resources if upload functionality is exposed.</w:t>
            </w:r>
          </w:p>
        </w:tc>
      </w:tr>
      <w:tr>
        <w:tc>
          <w:tcPr>
            <w:tcW w:type="dxa" w:w="3120"/>
            <w:vAlign w:val="top"/>
          </w:tcPr>
          <w:p>
            <w:pPr>
              <w:spacing w:after="0"/>
            </w:pPr>
            <w:r/>
            <w:r>
              <w:rPr>
                <w:rFonts w:ascii="Calibri" w:hAnsi="Calibri"/>
                <w:b w:val="0"/>
                <w:color w:val="000000"/>
                <w:sz w:val="18"/>
              </w:rPr>
              <w:t>customer.java, lines 4-13</w:t>
            </w:r>
          </w:p>
        </w:tc>
        <w:tc>
          <w:tcPr>
            <w:tcW w:type="dxa" w:w="3120"/>
            <w:vAlign w:val="top"/>
          </w:tcPr>
          <w:p>
            <w:pPr>
              <w:spacing w:after="0"/>
            </w:pPr>
            <w:r/>
            <w:r>
              <w:rPr>
                <w:rFonts w:ascii="Calibri" w:hAnsi="Calibri"/>
                <w:b/>
                <w:color w:val="000000"/>
                <w:sz w:val="18"/>
              </w:rPr>
              <w:t>Weak encapsulation and missing financial validation</w:t>
            </w:r>
          </w:p>
        </w:tc>
        <w:tc>
          <w:tcPr>
            <w:tcW w:type="dxa" w:w="3120"/>
            <w:vAlign w:val="top"/>
          </w:tcPr>
          <w:p>
            <w:pPr>
              <w:spacing w:after="0"/>
            </w:pPr>
            <w:r/>
            <w:r>
              <w:rPr>
                <w:rFonts w:ascii="Calibri" w:hAnsi="Calibri"/>
                <w:b w:val="0"/>
                <w:color w:val="000000"/>
                <w:sz w:val="18"/>
              </w:rPr>
              <w:t>account_balance is not private, and deposit(int a) accepts negative or extreme values. That can break financial integrity and bypass intended business rules.</w:t>
            </w:r>
          </w:p>
        </w:tc>
      </w:tr>
      <w:tr>
        <w:tc>
          <w:tcPr>
            <w:tcW w:type="dxa" w:w="3120"/>
            <w:vAlign w:val="top"/>
          </w:tcPr>
          <w:p>
            <w:pPr>
              <w:spacing w:after="0"/>
            </w:pPr>
            <w:r/>
            <w:r>
              <w:rPr>
                <w:rFonts w:ascii="Calibri" w:hAnsi="Calibri"/>
                <w:b w:val="0"/>
                <w:color w:val="000000"/>
                <w:sz w:val="18"/>
              </w:rPr>
              <w:t>pom.xml, lines 5-35 and 57-68</w:t>
            </w:r>
          </w:p>
        </w:tc>
        <w:tc>
          <w:tcPr>
            <w:tcW w:type="dxa" w:w="3120"/>
            <w:vAlign w:val="top"/>
          </w:tcPr>
          <w:p>
            <w:pPr>
              <w:spacing w:after="0"/>
            </w:pPr>
            <w:r/>
            <w:r>
              <w:rPr>
                <w:rFonts w:ascii="Calibri" w:hAnsi="Calibri"/>
                <w:b/>
                <w:color w:val="000000"/>
                <w:sz w:val="18"/>
              </w:rPr>
              <w:t>Outdated third-party components</w:t>
            </w:r>
          </w:p>
        </w:tc>
        <w:tc>
          <w:tcPr>
            <w:tcW w:type="dxa" w:w="3120"/>
            <w:vAlign w:val="top"/>
          </w:tcPr>
          <w:p>
            <w:pPr>
              <w:spacing w:after="0"/>
            </w:pPr>
            <w:r/>
            <w:r>
              <w:rPr>
                <w:rFonts w:ascii="Calibri" w:hAnsi="Calibri"/>
                <w:b w:val="0"/>
                <w:color w:val="000000"/>
                <w:sz w:val="18"/>
              </w:rPr>
              <w:t>The project uses Spring Boot 2.2.4.RELEASE, Bouncy Castle 1.46, and Dependency-Check 5.3.0. Older components should be scanned for known CVEs and upgraded to maintained versions when compatible.</w:t>
            </w:r>
          </w:p>
        </w:tc>
      </w:tr>
    </w:tbl>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keepNext/>
        <w:suppressAutoHyphens/>
        <w:spacing w:after="0" w:line="240" w:lineRule="auto"/>
        <w:contextualSpacing/>
        <w:rPr>
          <w:rFonts w:cstheme="minorHAnsi"/>
          <w:b/>
          <w:bCs/>
          <w:color w:val="000000" w:themeColor="text1"/>
        </w:rPr>
      </w:pPr>
      <w:r w:rsidRPr="000B05B1">
        <w:rPr>
          <w:rFonts w:cstheme="minorHAnsi"/>
          <w:b/>
          <w:bCs/>
          <w:color w:val="000000"/>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rPr>
        <w:t xml:space="preserve">Run a dependency check on Artemis Financial’s software application to identify all security vulnerabilities in the code. Record the output from </w:t>
      </w:r>
      <w:r w:rsidR="69E9FDE7" w:rsidRPr="000B05B1">
        <w:rPr>
          <w:rFonts w:cstheme="minorHAnsi"/>
          <w:color w:val="000000"/>
        </w:rPr>
        <w:t>the</w:t>
      </w:r>
      <w:r w:rsidRPr="000B05B1">
        <w:rPr>
          <w:rFonts w:cstheme="minorHAnsi"/>
          <w:color w:val="000000"/>
        </w:rPr>
        <w:t xml:space="preserve"> dependency</w:t>
      </w:r>
      <w:r w:rsidR="1ED3D48B" w:rsidRPr="000B05B1">
        <w:rPr>
          <w:rFonts w:cstheme="minorHAnsi"/>
          <w:color w:val="000000"/>
        </w:rPr>
        <w:t>-</w:t>
      </w:r>
      <w:r w:rsidRPr="000B05B1">
        <w:rPr>
          <w:rFonts w:cstheme="minorHAnsi"/>
          <w:color w:val="000000"/>
        </w:rPr>
        <w:t>check report. Include the following</w:t>
      </w:r>
      <w:r w:rsidR="12183239" w:rsidRPr="000B05B1">
        <w:rPr>
          <w:rFonts w:cstheme="minorHAnsi"/>
          <w:color w:val="000000"/>
        </w:rPr>
        <w:t xml:space="preserve"> items</w:t>
      </w:r>
      <w:r w:rsidRPr="000B05B1">
        <w:rPr>
          <w:rFonts w:cstheme="minorHAnsi"/>
          <w:color w:val="000000"/>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rPr>
        <w:t>A brief description and recommended solutions provided by the dependency</w:t>
      </w:r>
      <w:r w:rsidR="5B285498" w:rsidRPr="000B05B1">
        <w:rPr>
          <w:rFonts w:cstheme="minorHAnsi"/>
          <w:color w:val="000000"/>
        </w:rPr>
        <w:t>-</w:t>
      </w:r>
      <w:r w:rsidRPr="000B05B1">
        <w:rPr>
          <w:rFonts w:cstheme="minorHAnsi"/>
          <w:color w:val="000000"/>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rPr>
        <w:t>Any attribution</w:t>
      </w:r>
      <w:r w:rsidR="531DB269" w:rsidRPr="000B05B1">
        <w:rPr>
          <w:rFonts w:cstheme="minorHAnsi"/>
          <w:color w:val="000000"/>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1C1C7A74" w:rsidR="531DB269" w:rsidRPr="000B05B1" w:rsidRDefault="531DB269" w:rsidP="000B05B1">
      <w:pPr>
        <w:suppressAutoHyphens/>
        <w:spacing w:after="100" w:line="240" w:lineRule="auto"/>
        <w:contextualSpacing/>
        <w:rPr>
          <w:rFonts w:cstheme="minorHAnsi"/>
          <w:color w:val="000000" w:themeColor="text1"/>
        </w:rPr>
      </w:pPr>
      <w:r>
        <w:rPr>
          <w:rFonts w:ascii="Calibri" w:hAnsi="Calibri"/>
          <w:color w:val="000000"/>
          <w:sz w:val="21"/>
        </w:rPr>
        <w:t>I ran OWASP Dependency-Check 12.1.0 against the Artemis Financial rest-service project. The report scanned 38 dependencies (23 unique) and identified 13 vulnerable dependencies with 293 vulnerability matches. No vulnerabilities were suppressed. The scan also recorded analysis exceptions for Sonatype OSS Index component-report requests, but the HTML report was generated and contains the dependency and NVD/CVE findings used below.</w:t>
      </w:r>
    </w:p>
    <w:p/>
    <w:p>
      <w:pPr>
        <w:spacing w:after="100" w:line="240" w:lineRule="auto"/>
      </w:pPr>
      <w:r>
        <w:rPr>
          <w:rFonts w:ascii="Calibri" w:hAnsi="Calibri"/>
          <w:color w:val="000000"/>
          <w:sz w:val="21"/>
        </w:rPr>
        <w:t>The report shows several outdated dependencies with High or Critical findings. The most important affected components include Bouncy Castle 1.46, Jackson Databind 2.10.2, SnakeYAML 1.25, Spring Boot 2.2.4.RELEASE, Spring Framework 5.2.3.RELEASE, and embedded Tomcat 9.0.30. Spring Framework and Tomcat entries are also marked with an asterisk in the report, meaning the dependency has a known exploited vulnerability.</w:t>
      </w:r>
    </w:p>
    <w:p/>
    <w:p>
      <w:pPr>
        <w:spacing w:after="100" w:line="240" w:lineRule="auto"/>
      </w:pPr>
      <w:r>
        <w:rPr>
          <w:rFonts w:ascii="Calibri" w:hAnsi="Calibri"/>
          <w:color w:val="000000"/>
          <w:sz w:val="21"/>
        </w:rPr>
        <w:t>The CVE descriptions and severity information below come from the generated Dependency-Check report, which attributes the findings to published vulnerability records and advisories such as NVD/CVE, CISA Known Exploited Vulnerabilities entries, vendor advisories, patches, mailing lists, and third-party advisories. The appropriate mitigation is to upgrade affected libraries to maintained versions that are outside the vulnerable version ranges and then rerun Dependency-Check to verify the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vAlign w:val="top"/>
            <w:shd w:fill="E7E6E6"/>
          </w:tcPr>
          <w:p>
            <w:pPr>
              <w:spacing w:after="0"/>
            </w:pPr>
            <w:r/>
            <w:r>
              <w:rPr>
                <w:rFonts w:ascii="Calibri" w:hAnsi="Calibri"/>
                <w:b/>
                <w:color w:val="000000"/>
                <w:sz w:val="16"/>
              </w:rPr>
              <w:t>Dependency</w:t>
            </w:r>
          </w:p>
        </w:tc>
        <w:tc>
          <w:tcPr>
            <w:tcW w:type="dxa" w:w="1872"/>
            <w:vAlign w:val="top"/>
            <w:shd w:fill="E7E6E6"/>
          </w:tcPr>
          <w:p>
            <w:pPr>
              <w:spacing w:after="0"/>
            </w:pPr>
            <w:r/>
            <w:r>
              <w:rPr>
                <w:rFonts w:ascii="Calibri" w:hAnsi="Calibri"/>
                <w:b/>
                <w:color w:val="000000"/>
                <w:sz w:val="16"/>
              </w:rPr>
              <w:t>Severity / Count</w:t>
            </w:r>
          </w:p>
        </w:tc>
        <w:tc>
          <w:tcPr>
            <w:tcW w:type="dxa" w:w="1872"/>
            <w:vAlign w:val="top"/>
            <w:shd w:fill="E7E6E6"/>
          </w:tcPr>
          <w:p>
            <w:pPr>
              <w:spacing w:after="0"/>
            </w:pPr>
            <w:r/>
            <w:r>
              <w:rPr>
                <w:rFonts w:ascii="Calibri" w:hAnsi="Calibri"/>
                <w:b/>
                <w:color w:val="000000"/>
                <w:sz w:val="16"/>
              </w:rPr>
              <w:t>Example CVEs</w:t>
            </w:r>
          </w:p>
        </w:tc>
        <w:tc>
          <w:tcPr>
            <w:tcW w:type="dxa" w:w="1872"/>
            <w:vAlign w:val="top"/>
            <w:shd w:fill="E7E6E6"/>
          </w:tcPr>
          <w:p>
            <w:pPr>
              <w:spacing w:after="0"/>
            </w:pPr>
            <w:r/>
            <w:r>
              <w:rPr>
                <w:rFonts w:ascii="Calibri" w:hAnsi="Calibri"/>
                <w:b/>
                <w:color w:val="000000"/>
                <w:sz w:val="16"/>
              </w:rPr>
              <w:t>Description / Recommended Solution</w:t>
            </w:r>
          </w:p>
        </w:tc>
        <w:tc>
          <w:tcPr>
            <w:tcW w:type="dxa" w:w="1872"/>
            <w:vAlign w:val="top"/>
            <w:shd w:fill="E7E6E6"/>
          </w:tcPr>
          <w:p>
            <w:pPr>
              <w:spacing w:after="0"/>
            </w:pPr>
            <w:r/>
            <w:r>
              <w:rPr>
                <w:rFonts w:ascii="Calibri" w:hAnsi="Calibri"/>
                <w:b/>
                <w:color w:val="000000"/>
                <w:sz w:val="16"/>
              </w:rPr>
              <w:t>Attribution</w:t>
            </w:r>
          </w:p>
        </w:tc>
      </w:tr>
      <w:tr>
        <w:tc>
          <w:tcPr>
            <w:tcW w:type="dxa" w:w="1872"/>
            <w:vAlign w:val="top"/>
          </w:tcPr>
          <w:p>
            <w:pPr>
              <w:spacing w:after="0"/>
            </w:pPr>
            <w:r/>
            <w:r>
              <w:rPr>
                <w:rFonts w:ascii="Calibri" w:hAnsi="Calibri"/>
                <w:b/>
                <w:color w:val="000000"/>
                <w:sz w:val="16"/>
              </w:rPr>
              <w:t>bcprov-jdk15on 1.46</w:t>
            </w:r>
          </w:p>
        </w:tc>
        <w:tc>
          <w:tcPr>
            <w:tcW w:type="dxa" w:w="1872"/>
            <w:vAlign w:val="top"/>
          </w:tcPr>
          <w:p>
            <w:pPr>
              <w:spacing w:after="0"/>
            </w:pPr>
            <w:r/>
            <w:r>
              <w:rPr>
                <w:rFonts w:ascii="Calibri" w:hAnsi="Calibri"/>
                <w:b w:val="0"/>
                <w:color w:val="000000"/>
                <w:sz w:val="16"/>
              </w:rPr>
              <w:t>High - 4 findings</w:t>
            </w:r>
          </w:p>
        </w:tc>
        <w:tc>
          <w:tcPr>
            <w:tcW w:type="dxa" w:w="1872"/>
            <w:vAlign w:val="top"/>
          </w:tcPr>
          <w:p>
            <w:pPr>
              <w:spacing w:after="0"/>
            </w:pPr>
            <w:r/>
            <w:r>
              <w:rPr>
                <w:rFonts w:ascii="Calibri" w:hAnsi="Calibri"/>
                <w:b w:val="0"/>
                <w:color w:val="000000"/>
                <w:sz w:val="16"/>
              </w:rPr>
              <w:t>CVE-2016-1000338; CVE-2020-15522; CVE-2023-33202; CVE-2015-7940</w:t>
            </w:r>
          </w:p>
        </w:tc>
        <w:tc>
          <w:tcPr>
            <w:tcW w:type="dxa" w:w="1872"/>
            <w:vAlign w:val="top"/>
          </w:tcPr>
          <w:p>
            <w:pPr>
              <w:spacing w:after="0"/>
            </w:pPr>
            <w:r/>
            <w:r>
              <w:rPr>
                <w:rFonts w:ascii="Calibri" w:hAnsi="Calibri"/>
                <w:b w:val="0"/>
                <w:color w:val="000000"/>
                <w:sz w:val="16"/>
              </w:rPr>
              <w:t>The report identifies signature-verification, timing/private-key exposure, denial-of-service, and invalid-curve issues in older Bouncy Castle versions. Upgrade Bouncy Castle to a maintained release outside the affected ranges.</w:t>
            </w:r>
          </w:p>
        </w:tc>
        <w:tc>
          <w:tcPr>
            <w:tcW w:type="dxa" w:w="1872"/>
            <w:vAlign w:val="top"/>
          </w:tcPr>
          <w:p>
            <w:pPr>
              <w:spacing w:after="0"/>
            </w:pPr>
            <w:r/>
            <w:r>
              <w:rPr>
                <w:rFonts w:ascii="Calibri" w:hAnsi="Calibri"/>
                <w:b w:val="0"/>
                <w:color w:val="000000"/>
                <w:sz w:val="16"/>
              </w:rPr>
              <w:t>NVD/CVE records; vendor release notes/advisories; patches and third-party advisories.</w:t>
            </w:r>
          </w:p>
        </w:tc>
      </w:tr>
      <w:tr>
        <w:tc>
          <w:tcPr>
            <w:tcW w:type="dxa" w:w="1872"/>
            <w:vAlign w:val="top"/>
          </w:tcPr>
          <w:p>
            <w:pPr>
              <w:spacing w:after="0"/>
            </w:pPr>
            <w:r/>
            <w:r>
              <w:rPr>
                <w:rFonts w:ascii="Calibri" w:hAnsi="Calibri"/>
                <w:b/>
                <w:color w:val="000000"/>
                <w:sz w:val="16"/>
              </w:rPr>
              <w:t>jackson-databind 2.10.2</w:t>
            </w:r>
          </w:p>
        </w:tc>
        <w:tc>
          <w:tcPr>
            <w:tcW w:type="dxa" w:w="1872"/>
            <w:vAlign w:val="top"/>
          </w:tcPr>
          <w:p>
            <w:pPr>
              <w:spacing w:after="0"/>
            </w:pPr>
            <w:r/>
            <w:r>
              <w:rPr>
                <w:rFonts w:ascii="Calibri" w:hAnsi="Calibri"/>
                <w:b w:val="0"/>
                <w:color w:val="000000"/>
                <w:sz w:val="16"/>
              </w:rPr>
              <w:t>High - 11 findings</w:t>
            </w:r>
          </w:p>
        </w:tc>
        <w:tc>
          <w:tcPr>
            <w:tcW w:type="dxa" w:w="1872"/>
            <w:vAlign w:val="top"/>
          </w:tcPr>
          <w:p>
            <w:pPr>
              <w:spacing w:after="0"/>
            </w:pPr>
            <w:r/>
            <w:r>
              <w:rPr>
                <w:rFonts w:ascii="Calibri" w:hAnsi="Calibri"/>
                <w:b w:val="0"/>
                <w:color w:val="000000"/>
                <w:sz w:val="16"/>
              </w:rPr>
              <w:t>CVE-2020-25649; CVE-2020-36518; CVE-2021-46877</w:t>
            </w:r>
          </w:p>
        </w:tc>
        <w:tc>
          <w:tcPr>
            <w:tcW w:type="dxa" w:w="1872"/>
            <w:vAlign w:val="top"/>
          </w:tcPr>
          <w:p>
            <w:pPr>
              <w:spacing w:after="0"/>
            </w:pPr>
            <w:r/>
            <w:r>
              <w:rPr>
                <w:rFonts w:ascii="Calibri" w:hAnsi="Calibri"/>
                <w:b w:val="0"/>
                <w:color w:val="000000"/>
                <w:sz w:val="16"/>
              </w:rPr>
              <w:t>The report identifies XXE and denial-of-service/resource-consumption risks in this old Jackson Databind version. Upgrade Jackson Databind/Spring-managed Jackson dependencies to a supported fixed version and retest.</w:t>
            </w:r>
          </w:p>
        </w:tc>
        <w:tc>
          <w:tcPr>
            <w:tcW w:type="dxa" w:w="1872"/>
            <w:vAlign w:val="top"/>
          </w:tcPr>
          <w:p>
            <w:pPr>
              <w:spacing w:after="0"/>
            </w:pPr>
            <w:r/>
            <w:r>
              <w:rPr>
                <w:rFonts w:ascii="Calibri" w:hAnsi="Calibri"/>
                <w:b w:val="0"/>
                <w:color w:val="000000"/>
                <w:sz w:val="16"/>
              </w:rPr>
              <w:t>NVD/CVE records; issue tracking; vendor and third-party advisories.</w:t>
            </w:r>
          </w:p>
        </w:tc>
      </w:tr>
      <w:tr>
        <w:tc>
          <w:tcPr>
            <w:tcW w:type="dxa" w:w="1872"/>
            <w:vAlign w:val="top"/>
          </w:tcPr>
          <w:p>
            <w:pPr>
              <w:spacing w:after="0"/>
            </w:pPr>
            <w:r/>
            <w:r>
              <w:rPr>
                <w:rFonts w:ascii="Calibri" w:hAnsi="Calibri"/>
                <w:b/>
                <w:color w:val="000000"/>
                <w:sz w:val="16"/>
              </w:rPr>
              <w:t>snakeyaml 1.25</w:t>
            </w:r>
          </w:p>
        </w:tc>
        <w:tc>
          <w:tcPr>
            <w:tcW w:type="dxa" w:w="1872"/>
            <w:vAlign w:val="top"/>
          </w:tcPr>
          <w:p>
            <w:pPr>
              <w:spacing w:after="0"/>
            </w:pPr>
            <w:r/>
            <w:r>
              <w:rPr>
                <w:rFonts w:ascii="Calibri" w:hAnsi="Calibri"/>
                <w:b w:val="0"/>
                <w:color w:val="000000"/>
                <w:sz w:val="16"/>
              </w:rPr>
              <w:t>Critical - 8 findings</w:t>
            </w:r>
          </w:p>
        </w:tc>
        <w:tc>
          <w:tcPr>
            <w:tcW w:type="dxa" w:w="1872"/>
            <w:vAlign w:val="top"/>
          </w:tcPr>
          <w:p>
            <w:pPr>
              <w:spacing w:after="0"/>
            </w:pPr>
            <w:r/>
            <w:r>
              <w:rPr>
                <w:rFonts w:ascii="Calibri" w:hAnsi="Calibri"/>
                <w:b w:val="0"/>
                <w:color w:val="000000"/>
                <w:sz w:val="16"/>
              </w:rPr>
              <w:t>CVE-2022-1471; CVE-2017-18640; CVE-2022-25857</w:t>
            </w:r>
          </w:p>
        </w:tc>
        <w:tc>
          <w:tcPr>
            <w:tcW w:type="dxa" w:w="1872"/>
            <w:vAlign w:val="top"/>
          </w:tcPr>
          <w:p>
            <w:pPr>
              <w:spacing w:after="0"/>
            </w:pPr>
            <w:r/>
            <w:r>
              <w:rPr>
                <w:rFonts w:ascii="Calibri" w:hAnsi="Calibri"/>
                <w:b w:val="0"/>
                <w:color w:val="000000"/>
                <w:sz w:val="16"/>
              </w:rPr>
              <w:t>CVE-2022-1471 can allow unsafe deserialization of attacker-controlled YAML and the report recommends SafeConstructor for untrusted input and upgrading to SnakeYAML 2.0 or later. Other findings include entity-expansion and DoS issues.</w:t>
            </w:r>
          </w:p>
        </w:tc>
        <w:tc>
          <w:tcPr>
            <w:tcW w:type="dxa" w:w="1872"/>
            <w:vAlign w:val="top"/>
          </w:tcPr>
          <w:p>
            <w:pPr>
              <w:spacing w:after="0"/>
            </w:pPr>
            <w:r/>
            <w:r>
              <w:rPr>
                <w:rFonts w:ascii="Calibri" w:hAnsi="Calibri"/>
                <w:b w:val="0"/>
                <w:color w:val="000000"/>
                <w:sz w:val="16"/>
              </w:rPr>
              <w:t>NVD/CVE records; patch, issue-tracking, exploit and third-party advisory references.</w:t>
            </w:r>
          </w:p>
        </w:tc>
      </w:tr>
      <w:tr>
        <w:tc>
          <w:tcPr>
            <w:tcW w:type="dxa" w:w="1872"/>
            <w:vAlign w:val="top"/>
          </w:tcPr>
          <w:p>
            <w:pPr>
              <w:spacing w:after="0"/>
            </w:pPr>
            <w:r/>
            <w:r>
              <w:rPr>
                <w:rFonts w:ascii="Calibri" w:hAnsi="Calibri"/>
                <w:b/>
                <w:color w:val="000000"/>
                <w:sz w:val="16"/>
              </w:rPr>
              <w:t>Spring Framework 5.2.3.RELEASE</w:t>
            </w:r>
          </w:p>
        </w:tc>
        <w:tc>
          <w:tcPr>
            <w:tcW w:type="dxa" w:w="1872"/>
            <w:vAlign w:val="top"/>
          </w:tcPr>
          <w:p>
            <w:pPr>
              <w:spacing w:after="0"/>
            </w:pPr>
            <w:r/>
            <w:r>
              <w:rPr>
                <w:rFonts w:ascii="Calibri" w:hAnsi="Calibri"/>
                <w:b w:val="0"/>
                <w:color w:val="000000"/>
                <w:sz w:val="16"/>
              </w:rPr>
              <w:t>Critical* - 29+ findings</w:t>
            </w:r>
          </w:p>
        </w:tc>
        <w:tc>
          <w:tcPr>
            <w:tcW w:type="dxa" w:w="1872"/>
            <w:vAlign w:val="top"/>
          </w:tcPr>
          <w:p>
            <w:pPr>
              <w:spacing w:after="0"/>
            </w:pPr>
            <w:r/>
            <w:r>
              <w:rPr>
                <w:rFonts w:ascii="Calibri" w:hAnsi="Calibri"/>
                <w:b w:val="0"/>
                <w:color w:val="000000"/>
                <w:sz w:val="16"/>
              </w:rPr>
              <w:t>CVE-2022-22965 (Spring4Shell) and additional Spring CVEs</w:t>
            </w:r>
          </w:p>
        </w:tc>
        <w:tc>
          <w:tcPr>
            <w:tcW w:type="dxa" w:w="1872"/>
            <w:vAlign w:val="top"/>
          </w:tcPr>
          <w:p>
            <w:pPr>
              <w:spacing w:after="0"/>
            </w:pPr>
            <w:r/>
            <w:r>
              <w:rPr>
                <w:rFonts w:ascii="Calibri" w:hAnsi="Calibri"/>
                <w:b w:val="0"/>
                <w:color w:val="000000"/>
                <w:sz w:val="16"/>
              </w:rPr>
              <w:t>The report flags Spring Framework as critically outdated. CVE-2022-22965 concerns possible remote code execution through data binding under specific deployment conditions. Upgrade the Spring Framework by moving the project to a currently maintained Spring Boot/Spring Framework release.</w:t>
            </w:r>
          </w:p>
        </w:tc>
        <w:tc>
          <w:tcPr>
            <w:tcW w:type="dxa" w:w="1872"/>
            <w:vAlign w:val="top"/>
          </w:tcPr>
          <w:p>
            <w:pPr>
              <w:spacing w:after="0"/>
            </w:pPr>
            <w:r/>
            <w:r>
              <w:rPr>
                <w:rFonts w:ascii="Calibri" w:hAnsi="Calibri"/>
                <w:b w:val="0"/>
                <w:color w:val="000000"/>
                <w:sz w:val="16"/>
              </w:rPr>
              <w:t>NVD/CVE and CISA Known Exploited Vulnerabilities; vendor instructions/advisories.</w:t>
            </w:r>
          </w:p>
        </w:tc>
      </w:tr>
      <w:tr>
        <w:tc>
          <w:tcPr>
            <w:tcW w:type="dxa" w:w="1872"/>
            <w:vAlign w:val="top"/>
          </w:tcPr>
          <w:p>
            <w:pPr>
              <w:spacing w:after="0"/>
            </w:pPr>
            <w:r/>
            <w:r>
              <w:rPr>
                <w:rFonts w:ascii="Calibri" w:hAnsi="Calibri"/>
                <w:b/>
                <w:color w:val="000000"/>
                <w:sz w:val="16"/>
              </w:rPr>
              <w:t>Tomcat embed 9.0.30</w:t>
            </w:r>
          </w:p>
        </w:tc>
        <w:tc>
          <w:tcPr>
            <w:tcW w:type="dxa" w:w="1872"/>
            <w:vAlign w:val="top"/>
          </w:tcPr>
          <w:p>
            <w:pPr>
              <w:spacing w:after="0"/>
            </w:pPr>
            <w:r/>
            <w:r>
              <w:rPr>
                <w:rFonts w:ascii="Calibri" w:hAnsi="Calibri"/>
                <w:b w:val="0"/>
                <w:color w:val="000000"/>
                <w:sz w:val="16"/>
              </w:rPr>
              <w:t>Critical* - 76 findings in core</w:t>
            </w:r>
          </w:p>
        </w:tc>
        <w:tc>
          <w:tcPr>
            <w:tcW w:type="dxa" w:w="1872"/>
            <w:vAlign w:val="top"/>
          </w:tcPr>
          <w:p>
            <w:pPr>
              <w:spacing w:after="0"/>
            </w:pPr>
            <w:r/>
            <w:r>
              <w:rPr>
                <w:rFonts w:ascii="Calibri" w:hAnsi="Calibri"/>
                <w:b w:val="0"/>
                <w:color w:val="000000"/>
                <w:sz w:val="16"/>
              </w:rPr>
              <w:t>CVE-2020-1938 (Ghostcat) and additional Tomcat CVEs</w:t>
            </w:r>
          </w:p>
        </w:tc>
        <w:tc>
          <w:tcPr>
            <w:tcW w:type="dxa" w:w="1872"/>
            <w:vAlign w:val="top"/>
          </w:tcPr>
          <w:p>
            <w:pPr>
              <w:spacing w:after="0"/>
            </w:pPr>
            <w:r/>
            <w:r>
              <w:rPr>
                <w:rFonts w:ascii="Calibri" w:hAnsi="Calibri"/>
                <w:b w:val="0"/>
                <w:color w:val="000000"/>
                <w:sz w:val="16"/>
              </w:rPr>
              <w:t>The report identifies numerous Tomcat issues. CVE-2020-1938 concerns unsafe exposure/trust of AJP connections. Upgrade embedded Tomcat through a maintained Spring Boot dependency set and ensure unnecessary connectors such as AJP are disabled or securely restricted.</w:t>
            </w:r>
          </w:p>
        </w:tc>
        <w:tc>
          <w:tcPr>
            <w:tcW w:type="dxa" w:w="1872"/>
            <w:vAlign w:val="top"/>
          </w:tcPr>
          <w:p>
            <w:pPr>
              <w:spacing w:after="0"/>
            </w:pPr>
            <w:r/>
            <w:r>
              <w:rPr>
                <w:rFonts w:ascii="Calibri" w:hAnsi="Calibri"/>
                <w:b w:val="0"/>
                <w:color w:val="000000"/>
                <w:sz w:val="16"/>
              </w:rPr>
              <w:t>NVD/CVE, CISA Known Exploited Vulnerabilities, Apache/vendor and third-party advisories.</w:t>
            </w:r>
          </w:p>
        </w:tc>
      </w:tr>
    </w:tbl>
    <w:p>
      <w:pPr>
        <w:spacing w:after="80"/>
        <w:jc w:val="center"/>
      </w:pPr>
      <w:r>
        <w:rPr>
          <w:rFonts w:ascii="Calibri" w:hAnsi="Calibri"/>
          <w:b/>
          <w:color w:val="000000"/>
          <w:sz w:val="18"/>
        </w:rPr>
        <w:t>Figure 1. OWASP Dependency-Check summary for the Project One rest-service application.</w:t>
      </w:r>
    </w:p>
    <w:p>
      <w:pPr>
        <w:spacing w:after="160"/>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Screenshot 2026-09-18 225641.png"/>
                    <pic:cNvPicPr/>
                  </pic:nvPicPr>
                  <pic:blipFill>
                    <a:blip r:embed="rId18"/>
                    <a:stretch>
                      <a:fillRect/>
                    </a:stretch>
                  </pic:blipFill>
                  <pic:spPr>
                    <a:xfrm>
                      <a:off x="0" y="0"/>
                      <a:ext cx="6126480" cy="3446145"/>
                    </a:xfrm>
                    <a:prstGeom prst="rect"/>
                  </pic:spPr>
                </pic:pic>
              </a:graphicData>
            </a:graphic>
          </wp:inline>
        </w:drawing>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keepNext/>
        <w:suppressAutoHyphens/>
        <w:spacing w:after="0" w:line="240" w:lineRule="auto"/>
        <w:contextualSpacing/>
        <w:rPr>
          <w:rFonts w:cstheme="minorHAnsi"/>
          <w:b/>
          <w:bCs/>
          <w:color w:val="000000" w:themeColor="text1"/>
        </w:rPr>
      </w:pPr>
      <w:r w:rsidRPr="000B05B1">
        <w:rPr>
          <w:rFonts w:cstheme="minorHAnsi"/>
          <w:b/>
          <w:bCs/>
          <w:color w:val="000000"/>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rPr>
        <w:t>Interpret the</w:t>
      </w:r>
      <w:r w:rsidR="531DB269" w:rsidRPr="000B05B1">
        <w:rPr>
          <w:rFonts w:cstheme="minorHAnsi"/>
          <w:color w:val="000000"/>
        </w:rPr>
        <w:t xml:space="preserve"> results from the manual review and static testing</w:t>
      </w:r>
      <w:r w:rsidR="00BE5AC6">
        <w:rPr>
          <w:rFonts w:cstheme="minorHAnsi"/>
          <w:color w:val="000000"/>
        </w:rPr>
        <w:t xml:space="preserve"> report. Then i</w:t>
      </w:r>
      <w:r w:rsidR="531DB269" w:rsidRPr="000B05B1">
        <w:rPr>
          <w:rFonts w:cstheme="minorHAnsi"/>
          <w:color w:val="000000"/>
        </w:rPr>
        <w:t xml:space="preserve">dentify the steps to </w:t>
      </w:r>
      <w:r w:rsidR="00BE5AC6">
        <w:rPr>
          <w:rFonts w:cstheme="minorHAnsi"/>
          <w:color w:val="000000"/>
        </w:rPr>
        <w:t>mitigate</w:t>
      </w:r>
      <w:r w:rsidR="531DB269" w:rsidRPr="000B05B1">
        <w:rPr>
          <w:rFonts w:cstheme="minorHAnsi"/>
          <w:color w:val="000000"/>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D2DC204" w:rsidR="322AA2CB" w:rsidRPr="000B05B1" w:rsidRDefault="531DB269" w:rsidP="00DC5AB3">
      <w:pPr>
        <w:suppressAutoHyphens/>
        <w:spacing w:after="100" w:line="240" w:lineRule="auto"/>
        <w:contextualSpacing/>
        <w:rPr>
          <w:rFonts w:cstheme="minorHAnsi"/>
        </w:rPr>
      </w:pPr>
      <w:r>
        <w:rPr>
          <w:rFonts w:ascii="Calibri" w:hAnsi="Calibri"/>
          <w:color w:val="000000"/>
          <w:sz w:val="21"/>
        </w:rPr>
        <w:t>The mitigation plan below combines the manual-review findings with the actual Dependency-Check results. The highest priorities are protecting credentials and API access, validating untrusted input, enabling secure transport, and replacing outdated dependencies that contain Critical or known-exploited vulnerabilities.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376"/>
            <w:vAlign w:val="top"/>
            <w:shd w:fill="E7E6E6"/>
          </w:tcPr>
          <w:p>
            <w:pPr>
              <w:spacing w:after="0"/>
            </w:pPr>
            <w:r/>
            <w:r>
              <w:rPr>
                <w:rFonts w:ascii="Calibri" w:hAnsi="Calibri"/>
                <w:b/>
                <w:color w:val="000000"/>
                <w:sz w:val="18"/>
              </w:rPr>
              <w:t>Risk Area</w:t>
            </w:r>
          </w:p>
        </w:tc>
        <w:tc>
          <w:tcPr>
            <w:tcW w:type="dxa" w:w="7632"/>
            <w:vAlign w:val="top"/>
            <w:shd w:fill="E7E6E6"/>
          </w:tcPr>
          <w:p>
            <w:pPr>
              <w:spacing w:after="0"/>
            </w:pPr>
            <w:r/>
            <w:r>
              <w:rPr>
                <w:rFonts w:ascii="Calibri" w:hAnsi="Calibri"/>
                <w:b/>
                <w:color w:val="000000"/>
                <w:sz w:val="18"/>
              </w:rPr>
              <w:t>Mitigation Action</w:t>
            </w:r>
          </w:p>
        </w:tc>
      </w:tr>
      <w:tr>
        <w:tc>
          <w:tcPr>
            <w:tcW w:type="dxa" w:w="4680"/>
            <w:vAlign w:val="top"/>
          </w:tcPr>
          <w:p>
            <w:pPr>
              <w:spacing w:after="0"/>
            </w:pPr>
            <w:r/>
            <w:r>
              <w:rPr>
                <w:rFonts w:ascii="Calibri" w:hAnsi="Calibri"/>
                <w:b/>
                <w:color w:val="000000"/>
                <w:sz w:val="18"/>
              </w:rPr>
              <w:t>Credentials</w:t>
            </w:r>
          </w:p>
        </w:tc>
        <w:tc>
          <w:tcPr>
            <w:tcW w:type="dxa" w:w="4680"/>
            <w:vAlign w:val="top"/>
          </w:tcPr>
          <w:p>
            <w:pPr>
              <w:spacing w:after="0"/>
            </w:pPr>
            <w:r/>
            <w:r>
              <w:rPr>
                <w:rFonts w:ascii="Calibri" w:hAnsi="Calibri"/>
                <w:b w:val="0"/>
                <w:color w:val="000000"/>
                <w:sz w:val="18"/>
              </w:rPr>
              <w:t>Remove the hard-coded root/root credentials from DocData.java. Load database credentials from protected environment variables or another secure configuration source, and never commit real credentials to source control.</w:t>
            </w:r>
          </w:p>
        </w:tc>
      </w:tr>
      <w:tr>
        <w:tc>
          <w:tcPr>
            <w:tcW w:type="dxa" w:w="4680"/>
            <w:vAlign w:val="top"/>
          </w:tcPr>
          <w:p>
            <w:pPr>
              <w:spacing w:after="0"/>
            </w:pPr>
            <w:r/>
            <w:r>
              <w:rPr>
                <w:rFonts w:ascii="Calibri" w:hAnsi="Calibri"/>
                <w:b/>
                <w:color w:val="000000"/>
                <w:sz w:val="18"/>
              </w:rPr>
              <w:t>Least privilege</w:t>
            </w:r>
          </w:p>
        </w:tc>
        <w:tc>
          <w:tcPr>
            <w:tcW w:type="dxa" w:w="4680"/>
            <w:vAlign w:val="top"/>
          </w:tcPr>
          <w:p>
            <w:pPr>
              <w:spacing w:after="0"/>
            </w:pPr>
            <w:r/>
            <w:r>
              <w:rPr>
                <w:rFonts w:ascii="Calibri" w:hAnsi="Calibri"/>
                <w:b w:val="0"/>
                <w:color w:val="000000"/>
                <w:sz w:val="18"/>
              </w:rPr>
              <w:t>Create a dedicated database account for the application with only the permissions it needs. Do not connect to the database as root.</w:t>
            </w:r>
          </w:p>
        </w:tc>
      </w:tr>
      <w:tr>
        <w:tc>
          <w:tcPr>
            <w:tcW w:type="dxa" w:w="4680"/>
            <w:vAlign w:val="top"/>
          </w:tcPr>
          <w:p>
            <w:pPr>
              <w:spacing w:after="0"/>
            </w:pPr>
            <w:r/>
            <w:r>
              <w:rPr>
                <w:rFonts w:ascii="Calibri" w:hAnsi="Calibri"/>
                <w:b/>
                <w:color w:val="000000"/>
                <w:sz w:val="18"/>
              </w:rPr>
              <w:t>Resource management</w:t>
            </w:r>
          </w:p>
        </w:tc>
        <w:tc>
          <w:tcPr>
            <w:tcW w:type="dxa" w:w="4680"/>
            <w:vAlign w:val="top"/>
          </w:tcPr>
          <w:p>
            <w:pPr>
              <w:spacing w:after="0"/>
            </w:pPr>
            <w:r/>
            <w:r>
              <w:rPr>
                <w:rFonts w:ascii="Calibri" w:hAnsi="Calibri"/>
                <w:b w:val="0"/>
                <w:color w:val="000000"/>
                <w:sz w:val="18"/>
              </w:rPr>
              <w:t>Use try-with-resources for Connection, Statement, and ResultSet objects so database resources close automatically even when an exception occurs.</w:t>
            </w:r>
          </w:p>
        </w:tc>
      </w:tr>
      <w:tr>
        <w:tc>
          <w:tcPr>
            <w:tcW w:type="dxa" w:w="4680"/>
            <w:vAlign w:val="top"/>
          </w:tcPr>
          <w:p>
            <w:pPr>
              <w:spacing w:after="0"/>
            </w:pPr>
            <w:r/>
            <w:r>
              <w:rPr>
                <w:rFonts w:ascii="Calibri" w:hAnsi="Calibri"/>
                <w:b/>
                <w:color w:val="000000"/>
                <w:sz w:val="18"/>
              </w:rPr>
              <w:t>Error handling</w:t>
            </w:r>
          </w:p>
        </w:tc>
        <w:tc>
          <w:tcPr>
            <w:tcW w:type="dxa" w:w="4680"/>
            <w:vAlign w:val="top"/>
          </w:tcPr>
          <w:p>
            <w:pPr>
              <w:spacing w:after="0"/>
            </w:pPr>
            <w:r/>
            <w:r>
              <w:rPr>
                <w:rFonts w:ascii="Calibri" w:hAnsi="Calibri"/>
                <w:b w:val="0"/>
                <w:color w:val="000000"/>
                <w:sz w:val="18"/>
              </w:rPr>
              <w:t>Replace printStackTrace() with controlled server-side logging. Return generic errors to clients and avoid exposing database or stack details.</w:t>
            </w:r>
          </w:p>
        </w:tc>
      </w:tr>
      <w:tr>
        <w:tc>
          <w:tcPr>
            <w:tcW w:type="dxa" w:w="4680"/>
            <w:vAlign w:val="top"/>
          </w:tcPr>
          <w:p>
            <w:pPr>
              <w:spacing w:after="0"/>
            </w:pPr>
            <w:r/>
            <w:r>
              <w:rPr>
                <w:rFonts w:ascii="Calibri" w:hAnsi="Calibri"/>
                <w:b/>
                <w:color w:val="000000"/>
                <w:sz w:val="18"/>
              </w:rPr>
              <w:t>Authentication and authorization</w:t>
            </w:r>
          </w:p>
        </w:tc>
        <w:tc>
          <w:tcPr>
            <w:tcW w:type="dxa" w:w="4680"/>
            <w:vAlign w:val="top"/>
          </w:tcPr>
          <w:p>
            <w:pPr>
              <w:spacing w:after="0"/>
            </w:pPr>
            <w:r/>
            <w:r>
              <w:rPr>
                <w:rFonts w:ascii="Calibri" w:hAnsi="Calibri"/>
                <w:b w:val="0"/>
                <w:color w:val="000000"/>
                <w:sz w:val="18"/>
              </w:rPr>
              <w:t>Protect sensitive REST endpoints with an authentication mechanism and role-based authorization. Verify that each user can access only the functions and information allowed for that role.</w:t>
            </w:r>
          </w:p>
        </w:tc>
      </w:tr>
      <w:tr>
        <w:tc>
          <w:tcPr>
            <w:tcW w:type="dxa" w:w="4680"/>
            <w:vAlign w:val="top"/>
          </w:tcPr>
          <w:p>
            <w:pPr>
              <w:spacing w:after="0"/>
            </w:pPr>
            <w:r/>
            <w:r>
              <w:rPr>
                <w:rFonts w:ascii="Calibri" w:hAnsi="Calibri"/>
                <w:b/>
                <w:color w:val="000000"/>
                <w:sz w:val="18"/>
              </w:rPr>
              <w:t>Input validation</w:t>
            </w:r>
          </w:p>
        </w:tc>
        <w:tc>
          <w:tcPr>
            <w:tcW w:type="dxa" w:w="4680"/>
            <w:vAlign w:val="top"/>
          </w:tcPr>
          <w:p>
            <w:pPr>
              <w:spacing w:after="0"/>
            </w:pPr>
            <w:r/>
            <w:r>
              <w:rPr>
                <w:rFonts w:ascii="Calibri" w:hAnsi="Calibri"/>
                <w:b w:val="0"/>
                <w:color w:val="000000"/>
                <w:sz w:val="18"/>
              </w:rPr>
              <w:t>Validate and constrain business_name, name, and any other client-controlled values. Apply expected length, type, range, and business-rule checks before processing.</w:t>
            </w:r>
          </w:p>
        </w:tc>
      </w:tr>
      <w:tr>
        <w:tc>
          <w:tcPr>
            <w:tcW w:type="dxa" w:w="4680"/>
            <w:vAlign w:val="top"/>
          </w:tcPr>
          <w:p>
            <w:pPr>
              <w:spacing w:after="0"/>
            </w:pPr>
            <w:r/>
            <w:r>
              <w:rPr>
                <w:rFonts w:ascii="Calibri" w:hAnsi="Calibri"/>
                <w:b/>
                <w:color w:val="000000"/>
                <w:sz w:val="18"/>
              </w:rPr>
              <w:t>Transport security</w:t>
            </w:r>
          </w:p>
        </w:tc>
        <w:tc>
          <w:tcPr>
            <w:tcW w:type="dxa" w:w="4680"/>
            <w:vAlign w:val="top"/>
          </w:tcPr>
          <w:p>
            <w:pPr>
              <w:spacing w:after="0"/>
            </w:pPr>
            <w:r/>
            <w:r>
              <w:rPr>
                <w:rFonts w:ascii="Calibri" w:hAnsi="Calibri"/>
                <w:b w:val="0"/>
                <w:color w:val="000000"/>
                <w:sz w:val="18"/>
              </w:rPr>
              <w:t>Require HTTPS/TLS for client-server communication in production and use current, approved cryptographic protocols and libraries.</w:t>
            </w:r>
          </w:p>
        </w:tc>
      </w:tr>
      <w:tr>
        <w:tc>
          <w:tcPr>
            <w:tcW w:type="dxa" w:w="4680"/>
            <w:vAlign w:val="top"/>
          </w:tcPr>
          <w:p>
            <w:pPr>
              <w:spacing w:after="0"/>
            </w:pPr>
            <w:r/>
            <w:r>
              <w:rPr>
                <w:rFonts w:ascii="Calibri" w:hAnsi="Calibri"/>
                <w:b/>
                <w:color w:val="000000"/>
                <w:sz w:val="18"/>
              </w:rPr>
              <w:t>Upload controls</w:t>
            </w:r>
          </w:p>
        </w:tc>
        <w:tc>
          <w:tcPr>
            <w:tcW w:type="dxa" w:w="4680"/>
            <w:vAlign w:val="top"/>
          </w:tcPr>
          <w:p>
            <w:pPr>
              <w:spacing w:after="0"/>
            </w:pPr>
            <w:r/>
            <w:r>
              <w:rPr>
                <w:rFonts w:ascii="Calibri" w:hAnsi="Calibri"/>
                <w:b w:val="0"/>
                <w:color w:val="000000"/>
                <w:sz w:val="18"/>
              </w:rPr>
              <w:t>Reduce multipart size limits to the smallest values required by the application, allow only necessary file types, and enforce authorization and safe storage if uploads are used.</w:t>
            </w:r>
          </w:p>
        </w:tc>
      </w:tr>
      <w:tr>
        <w:tc>
          <w:tcPr>
            <w:tcW w:type="dxa" w:w="4680"/>
            <w:vAlign w:val="top"/>
          </w:tcPr>
          <w:p>
            <w:pPr>
              <w:spacing w:after="0"/>
            </w:pPr>
            <w:r/>
            <w:r>
              <w:rPr>
                <w:rFonts w:ascii="Calibri" w:hAnsi="Calibri"/>
                <w:b/>
                <w:color w:val="000000"/>
                <w:sz w:val="18"/>
              </w:rPr>
              <w:t>Financial data integrity</w:t>
            </w:r>
          </w:p>
        </w:tc>
        <w:tc>
          <w:tcPr>
            <w:tcW w:type="dxa" w:w="4680"/>
            <w:vAlign w:val="top"/>
          </w:tcPr>
          <w:p>
            <w:pPr>
              <w:spacing w:after="0"/>
            </w:pPr>
            <w:r/>
            <w:r>
              <w:rPr>
                <w:rFonts w:ascii="Calibri" w:hAnsi="Calibri"/>
                <w:b w:val="0"/>
                <w:color w:val="000000"/>
                <w:sz w:val="18"/>
              </w:rPr>
              <w:t>Make account_balance private and require all balance changes to pass through validated methods. Reject negative deposits, check acceptable ranges, and use a safer monetary representation than unrestricted integer arithmetic.</w:t>
            </w:r>
          </w:p>
        </w:tc>
      </w:tr>
      <w:tr>
        <w:tc>
          <w:tcPr>
            <w:tcW w:type="dxa" w:w="4680"/>
            <w:vAlign w:val="top"/>
          </w:tcPr>
          <w:p>
            <w:pPr>
              <w:spacing w:after="0"/>
            </w:pPr>
            <w:r/>
            <w:r>
              <w:rPr>
                <w:rFonts w:ascii="Calibri" w:hAnsi="Calibri"/>
                <w:b/>
                <w:color w:val="000000"/>
                <w:sz w:val="18"/>
              </w:rPr>
              <w:t>Dependencies and retesting</w:t>
            </w:r>
          </w:p>
        </w:tc>
        <w:tc>
          <w:tcPr>
            <w:tcW w:type="dxa" w:w="4680"/>
            <w:vAlign w:val="top"/>
          </w:tcPr>
          <w:p>
            <w:pPr>
              <w:spacing w:after="0"/>
            </w:pPr>
            <w:r/>
            <w:r>
              <w:rPr>
                <w:rFonts w:ascii="Calibri" w:hAnsi="Calibri"/>
                <w:b w:val="0"/>
                <w:color w:val="000000"/>
                <w:sz w:val="18"/>
              </w:rPr>
              <w:t>Upgrade vulnerable or unsupported dependencies identified by Dependency-Check. After changes, run regression tests and Dependency-Check again, investigate remaining Critical/High findings, and document any justified false-positive suppressions.</w:t>
            </w:r>
          </w:p>
        </w:tc>
      </w:tr>
      <w:tr>
        <w:tc>
          <w:tcPr>
            <w:tcW w:type="dxa" w:w="4680"/>
            <w:vAlign w:val="top"/>
          </w:tcPr>
          <w:p>
            <w:pPr>
              <w:spacing w:after="0"/>
            </w:pPr>
            <w:r/>
            <w:r>
              <w:rPr>
                <w:rFonts w:ascii="Calibri" w:hAnsi="Calibri"/>
                <w:b/>
                <w:color w:val="000000"/>
                <w:sz w:val="17"/>
              </w:rPr>
              <w:t>Bouncy Castle 1.46</w:t>
            </w:r>
          </w:p>
        </w:tc>
        <w:tc>
          <w:tcPr>
            <w:tcW w:type="dxa" w:w="4680"/>
            <w:vAlign w:val="top"/>
          </w:tcPr>
          <w:p>
            <w:pPr>
              <w:spacing w:after="0"/>
            </w:pPr>
            <w:r/>
            <w:r>
              <w:rPr>
                <w:rFonts w:ascii="Calibri" w:hAnsi="Calibri"/>
                <w:b w:val="0"/>
                <w:color w:val="000000"/>
                <w:sz w:val="17"/>
              </w:rPr>
              <w:t>Upgrade Bouncy Castle to a maintained version outside the vulnerable ranges reported for CVE-2016-1000338, CVE-2020-15522, CVE-2023-33202, and related findings. Retest cryptographic functions after the upgrade.</w:t>
            </w:r>
          </w:p>
        </w:tc>
      </w:tr>
      <w:tr>
        <w:tc>
          <w:tcPr>
            <w:tcW w:type="dxa" w:w="4680"/>
            <w:vAlign w:val="top"/>
          </w:tcPr>
          <w:p>
            <w:pPr>
              <w:spacing w:after="0"/>
            </w:pPr>
            <w:r/>
            <w:r>
              <w:rPr>
                <w:rFonts w:ascii="Calibri" w:hAnsi="Calibri"/>
                <w:b/>
                <w:color w:val="000000"/>
                <w:sz w:val="17"/>
              </w:rPr>
              <w:t>Jackson Databind 2.10.2</w:t>
            </w:r>
          </w:p>
        </w:tc>
        <w:tc>
          <w:tcPr>
            <w:tcW w:type="dxa" w:w="4680"/>
            <w:vAlign w:val="top"/>
          </w:tcPr>
          <w:p>
            <w:pPr>
              <w:spacing w:after="0"/>
            </w:pPr>
            <w:r/>
            <w:r>
              <w:rPr>
                <w:rFonts w:ascii="Calibri" w:hAnsi="Calibri"/>
                <w:b w:val="0"/>
                <w:color w:val="000000"/>
                <w:sz w:val="17"/>
              </w:rPr>
              <w:t>Upgrade Jackson Databind through a supported Spring dependency set. Verify that polymorphic deserialization is not enabled unnecessarily and retest for the XXE and denial-of-service findings identified by Dependency-Check.</w:t>
            </w:r>
          </w:p>
        </w:tc>
      </w:tr>
      <w:tr>
        <w:tc>
          <w:tcPr>
            <w:tcW w:type="dxa" w:w="4680"/>
            <w:vAlign w:val="top"/>
          </w:tcPr>
          <w:p>
            <w:pPr>
              <w:spacing w:after="0"/>
            </w:pPr>
            <w:r/>
            <w:r>
              <w:rPr>
                <w:rFonts w:ascii="Calibri" w:hAnsi="Calibri"/>
                <w:b/>
                <w:color w:val="000000"/>
                <w:sz w:val="17"/>
              </w:rPr>
              <w:t>SnakeYAML 1.25</w:t>
            </w:r>
          </w:p>
        </w:tc>
        <w:tc>
          <w:tcPr>
            <w:tcW w:type="dxa" w:w="4680"/>
            <w:vAlign w:val="top"/>
          </w:tcPr>
          <w:p>
            <w:pPr>
              <w:spacing w:after="0"/>
            </w:pPr>
            <w:r/>
            <w:r>
              <w:rPr>
                <w:rFonts w:ascii="Calibri" w:hAnsi="Calibri"/>
                <w:b w:val="0"/>
                <w:color w:val="000000"/>
                <w:sz w:val="17"/>
              </w:rPr>
              <w:t>Upgrade to SnakeYAML 2.0 or later as recommended by the report for CVE-2022-1471. If YAML input can be untrusted, use safe construction/parsing and limit resource consumption.</w:t>
            </w:r>
          </w:p>
        </w:tc>
      </w:tr>
      <w:tr>
        <w:tc>
          <w:tcPr>
            <w:tcW w:type="dxa" w:w="4680"/>
            <w:vAlign w:val="top"/>
          </w:tcPr>
          <w:p>
            <w:pPr>
              <w:spacing w:after="0"/>
            </w:pPr>
            <w:r/>
            <w:r>
              <w:rPr>
                <w:rFonts w:ascii="Calibri" w:hAnsi="Calibri"/>
                <w:b/>
                <w:color w:val="000000"/>
                <w:sz w:val="17"/>
              </w:rPr>
              <w:t>Spring / Tomcat</w:t>
            </w:r>
          </w:p>
        </w:tc>
        <w:tc>
          <w:tcPr>
            <w:tcW w:type="dxa" w:w="4680"/>
            <w:vAlign w:val="top"/>
          </w:tcPr>
          <w:p>
            <w:pPr>
              <w:spacing w:after="0"/>
            </w:pPr>
            <w:r/>
            <w:r>
              <w:rPr>
                <w:rFonts w:ascii="Calibri" w:hAnsi="Calibri"/>
                <w:b w:val="0"/>
                <w:color w:val="000000"/>
                <w:sz w:val="17"/>
              </w:rPr>
              <w:t>Upgrade Spring Boot 2.2.4.RELEASE so that Spring Framework 5.2.3.RELEASE and embedded Tomcat 9.0.30 are replaced with supported versions. Apply vendor security guidance, verify deployment conditions, and disable or restrict unnecessary connectors such as AJP.</w:t>
            </w:r>
          </w:p>
        </w:tc>
      </w:tr>
      <w:tr>
        <w:tc>
          <w:tcPr>
            <w:tcW w:type="dxa" w:w="4680"/>
            <w:vAlign w:val="top"/>
          </w:tcPr>
          <w:p>
            <w:pPr>
              <w:spacing w:after="0"/>
            </w:pPr>
            <w:r/>
            <w:r>
              <w:rPr>
                <w:rFonts w:ascii="Calibri" w:hAnsi="Calibri"/>
                <w:b/>
                <w:color w:val="000000"/>
                <w:sz w:val="17"/>
              </w:rPr>
              <w:t>Verification</w:t>
            </w:r>
          </w:p>
        </w:tc>
        <w:tc>
          <w:tcPr>
            <w:tcW w:type="dxa" w:w="4680"/>
            <w:vAlign w:val="top"/>
          </w:tcPr>
          <w:p>
            <w:pPr>
              <w:spacing w:after="0"/>
            </w:pPr>
            <w:r/>
            <w:r>
              <w:rPr>
                <w:rFonts w:ascii="Calibri" w:hAnsi="Calibri"/>
                <w:b w:val="0"/>
                <w:color w:val="000000"/>
                <w:sz w:val="17"/>
              </w:rPr>
              <w:t>After dependency and code changes, rerun OWASP Dependency-Check and application tests. Review any remaining Critical/High findings individually and document only verified false positives in a suppression file.</w:t>
            </w:r>
          </w:p>
        </w:tc>
      </w:tr>
    </w:tbl>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Properties xmlns="http://schemas.openxmlformats.org/officeDocument/2006/extended-properties" xmlns:vt="http://schemas.openxmlformats.org/officeDocument/2006/docPropsVTypes">
  <Template>Normal</Template>
  <TotalTime>4</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 Vulnerability Assessment Report</dc:title>
  <dc:subject>Artemis Financial Vulnerability Assessment</dc:subject>
  <dc:creator>Heri Lukambo</dc:creator>
  <cp:keywords/>
  <dc:description/>
  <cp:lastModifiedBy>Heri Lukambo</cp:lastModifiedBy>
  <cp:revision>4</cp:revision>
  <dcterms:created xsi:type="dcterms:W3CDTF">2024-02-07T05:59:00Z</dcterms:created>
  <dcterms:modified xsi:type="dcterms:W3CDTF">2024-02-07T06:02:00Z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