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28"/>
          <w:szCs w:val="28"/>
        </w:rPr>
        <w:t xml:space="preserve">CIVIC AI WORKFLOW ANALYSIS</w:t>
      </w:r>
    </w:p>
    <w:p>
      <w:pPr>
        <w:pBdr>
          <w:bottom w:val="single" w:color="2E75B6" w:sz="6" w:space="1"/>
        </w:pBdr>
        <w:spacing w:after="60"/>
      </w:pPr>
      <w:r>
        <w:rPr>
          <w:i/>
          <w:iCs/>
          <w:color w:val="555555"/>
          <w:sz w:val="22"/>
          <w:szCs w:val="22"/>
        </w:rPr>
        <w:t xml:space="preserve">Week 3, Tuesday — June 10, 2026</w:t>
      </w:r>
    </w:p>
    <w:p>
      <w:pPr>
        <w:spacing w:after="120"/>
      </w:pPr>
    </w:p>
    <w:p>
      <w:pPr>
        <w:pStyle w:val="Heading1"/>
      </w:pPr>
      <w:r>
        <w:t xml:space="preserve">TNC Permit Review — Stress Testing Human-in-the-Loop Design</w:t>
      </w:r>
    </w:p>
    <w:p>
      <w:pPr>
        <w:spacing w:after="160"/>
      </w:pPr>
      <w:r>
        <w:t xml:space="preserve">Workflow stress test: degraded inputs, uncertainty communication, override logging, and equity evaluation</w:t>
      </w:r>
    </w:p>
    <w:p>
      <w:pPr>
        <w:spacing w:after="120"/>
      </w:pPr>
    </w:p>
    <w:p>
      <w:pPr>
        <w:pStyle w:val="Heading1"/>
      </w:pPr>
      <w:r>
        <w:t xml:space="preserve">Overview</w:t>
      </w:r>
    </w:p>
    <w:p>
      <w:pPr>
        <w:spacing w:after="160"/>
      </w:pPr>
      <w:r>
        <w:t xml:space="preserve">Weeks 1 and 2 established that AI can perform cross-document consistency checking and policy compliance review accurately under controlled conditions — clean digital documents, obvious discrepancies, well-formed policy text. Week 3 asks what happens when those conditions do not hold.</w:t>
      </w:r>
    </w:p>
    <w:p>
      <w:pPr>
        <w:spacing w:after="160"/>
      </w:pPr>
      <w:r>
        <w:t xml:space="preserve">This analysis does not map a new workflow. It stress-tests the existing TNC permit review workflow against realistic operating conditions, and uses that stress test to surface the human-in-the-loop design questions that controlled experiments cannot answer: how should AI communicate uncertainty to a reviewer? When a reviewer overrides an AI finding, what should be logged? How do you evaluate whether a tool is failing certain applicant populations before you have enough data to segment?</w:t>
      </w:r>
    </w:p>
    <w:p>
      <w:pPr>
        <w:spacing w:after="160"/>
      </w:pPr>
      <w:r>
        <w:t xml:space="preserve">These are not edge case questions. They are the questions that determine whether a tool is deployable in a real government context.</w:t>
      </w:r>
    </w:p>
    <w:p>
      <w:pPr>
        <w:spacing w:after="120"/>
      </w:pPr>
    </w:p>
    <w:p>
      <w:pPr>
        <w:pStyle w:val="Heading1"/>
      </w:pPr>
      <w:r>
        <w:t xml:space="preserve">Part 1 — Degraded Input Conditions</w:t>
      </w:r>
    </w:p>
    <w:p>
      <w:pPr>
        <w:spacing w:after="160"/>
      </w:pPr>
      <w:r>
        <w:t xml:space="preserve">The Week 1 experiment noted that OCR quality on scanned documents was an untested variable. This is not a minor caveat. Government permit offices receive documents in every condition: mobile phone photos of titles, faxed insurance certificates, scanned leases with misaligned pages, handwritten fields. The controlled experiment scenario — clean digital text tables — is not representative of the production environment.</w:t>
      </w:r>
    </w:p>
    <w:p>
      <w:pPr>
        <w:spacing w:after="120"/>
      </w:pPr>
    </w:p>
    <w:p>
      <w:pPr>
        <w:pStyle w:val="Heading2"/>
      </w:pPr>
      <w:r>
        <w:t xml:space="preserve">What realistic document degradation looks like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60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Document type</w:t>
            </w:r>
          </w:p>
        </w:tc>
        <w:tc>
          <w:tcPr>
            <w:tcW w:type="dxa" w:w="338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Realistic condition</w:t>
            </w:r>
          </w:p>
        </w:tc>
        <w:tc>
          <w:tcPr>
            <w:tcW w:type="dxa" w:w="338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Risk to AI detection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TX DMV vehicle title</w:t>
            </w:r>
          </w:p>
        </w:tc>
        <w:tc>
          <w:tcPr>
            <w:tcW w:type="dxa" w:w="3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Photographed with phone; skewed, shadows across VIN field; partial blur on odometer</w:t>
            </w:r>
          </w:p>
        </w:tc>
        <w:tc>
          <w:tcPr>
            <w:tcW w:type="dxa" w:w="3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VIN misread or partially extracted. A one-digit OCR error produces a plausible-looking but wrong VIN — exactly the subtle discrepancy detection degrades 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Insurance certificate</w:t>
            </w:r>
          </w:p>
        </w:tc>
        <w:tc>
          <w:tcPr>
            <w:tcW w:type="dxa" w:w="3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Faxed copy; coverage amount field faint or cut off; certificate holder field partially outside scan boundary</w:t>
            </w:r>
          </w:p>
        </w:tc>
        <w:tc>
          <w:tcPr>
            <w:tcW w:type="dxa" w:w="3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Coverage amount misread (e.g. $1,500,000 read as $150,000). Certificate holder field missing — may be skipped rather than flagged as absent.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Lease agreement</w:t>
            </w:r>
          </w:p>
        </w:tc>
        <w:tc>
          <w:tcPr>
            <w:tcW w:type="dxa" w:w="3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Multi-page scan; pages out of order; signature page separated from vehicle information page</w:t>
            </w:r>
          </w:p>
        </w:tc>
        <w:tc>
          <w:tcPr>
            <w:tcW w:type="dxa" w:w="3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Permitted use clause and VIN may be on different pages. If chunked separately, the AI may confirm one without the other.</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TX SOS certificate</w:t>
            </w:r>
          </w:p>
        </w:tc>
        <w:tc>
          <w:tcPr>
            <w:tcW w:type="dxa" w:w="3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Downloaded PDF with non-standard font rendering; entity type field uses abbreviation not in training data</w:t>
            </w:r>
          </w:p>
        </w:tc>
        <w:tc>
          <w:tcPr>
            <w:tcW w:type="dxa" w:w="3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Entity type check may fail silently if the abbreviation (‘Dom. LLC’ vs ‘Domestic Limited Liability Company’) does not match the policy language.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Application form</w:t>
            </w:r>
          </w:p>
        </w:tc>
        <w:tc>
          <w:tcPr>
            <w:tcW w:type="dxa" w:w="3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Handwritten fields in Section 3 (vehicles); mixed print and cursive; VIN entered in two lines</w:t>
            </w:r>
          </w:p>
        </w:tc>
        <w:tc>
          <w:tcPr>
            <w:tcW w:type="dxa" w:w="3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Handwritten VIN recognition is an OCR hard case. Two-line entry may produce a split extraction that does not match any reference document.</w:t>
            </w:r>
          </w:p>
        </w:tc>
      </w:tr>
    </w:tbl>
    <w:p>
      <w:pPr>
        <w:spacing w:after="120"/>
      </w:pPr>
    </w:p>
    <w:p>
      <w:pPr>
        <w:pStyle w:val="Heading2"/>
      </w:pPr>
      <w:r>
        <w:t xml:space="preserve">What this means for detection reliability</w:t>
      </w:r>
    </w:p>
    <w:p>
      <w:pPr>
        <w:spacing w:after="160"/>
      </w:pPr>
      <w:r>
        <w:t xml:space="preserve">The Week 1 experiment planted obvious, three-way VIN conflicts across clean digital documents. Detection held. Realistic document degradation introduces two failure modes that did not appear in that scenario:</w:t>
      </w:r>
    </w:p>
    <w:p>
      <w:pPr>
        <w:pStyle w:val="ListParagraph"/>
        <w:numPr>
          <w:ilvl w:val="0"/>
          <w:numId w:val="2"/>
        </w:numPr>
        <w:spacing w:after="80"/>
      </w:pPr>
      <w:r>
        <w:t xml:space="preserve">Introduced errors: OCR produces a wrong value that the AI then treats as the document’s actual content. The discrepancy is now between the real document and the AI’s corrupted read of it — not between documents.</w:t>
      </w:r>
    </w:p>
    <w:p>
      <w:pPr>
        <w:pStyle w:val="ListParagraph"/>
        <w:numPr>
          <w:ilvl w:val="0"/>
          <w:numId w:val="2"/>
        </w:numPr>
        <w:spacing w:after="80"/>
      </w:pPr>
      <w:r>
        <w:t xml:space="preserve">Silent omissions: a field the AI cannot extract cleanly is skipped rather than flagged as unreadable. The output looks complete but has a gap the reviewer cannot see.</w:t>
      </w:r>
    </w:p>
    <w:p>
      <w:pPr>
        <w:spacing w:after="160"/>
      </w:pPr>
      <w:r>
        <w:t xml:space="preserve">Both failure modes are harder to detect than the false positive case (the AI flags something that isn’t actually a problem). They are also more consequential: an introduced error or silent omission can travel through the review process undetected.</w:t>
      </w:r>
    </w:p>
    <w:p>
      <w:pPr>
        <w:spacing w:after="120"/>
      </w:pPr>
    </w:p>
    <w:p>
      <w:pPr>
        <w:pBdr>
          <w:left w:val="single" w:color="2E75B6" w:sz="4" w:space="8"/>
        </w:pBdr>
        <w:spacing w:after="160"/>
        <w:ind w:left="720"/>
      </w:pPr>
      <w:r>
        <w:rPr>
          <w:i/>
          <w:iCs/>
          <w:color w:val="444444"/>
        </w:rPr>
        <w:t xml:space="preserve">The implication for Wednesday’s experiment: degrade one or two documents before running the consistency check. Introduce an OCR artifact on the VIN field and observe whether the AI flags the read as uncertain, flags it as a discrepancy, or passes it through silently. The third outcome is the one that matters most.</w:t>
      </w:r>
    </w:p>
    <w:p>
      <w:pPr>
        <w:spacing w:after="120"/>
      </w:pPr>
    </w:p>
    <w:p>
      <w:pPr>
        <w:pStyle w:val="Heading1"/>
      </w:pPr>
      <w:r>
        <w:t xml:space="preserve">Part 2 — Human-AI Interaction Design</w:t>
      </w:r>
    </w:p>
    <w:p>
      <w:pPr>
        <w:spacing w:after="160"/>
      </w:pPr>
      <w:r>
        <w:t xml:space="preserve">The experiments so far have evaluated AI output quality in isolation: did it find the issues, did it cite the right policy sections, did it avoid false positives? Week 3 shifts the question to how the AI and the human reviewer interact — what information the reviewer needs, how uncertainty gets communicated, and what should be recorded when human judgment diverges from the AI.</w:t>
      </w:r>
    </w:p>
    <w:p>
      <w:pPr>
        <w:spacing w:after="120"/>
      </w:pPr>
    </w:p>
    <w:p>
      <w:pPr>
        <w:pStyle w:val="Heading2"/>
      </w:pPr>
      <w:r>
        <w:t xml:space="preserve">How should AI communicate uncertainty?</w:t>
      </w:r>
    </w:p>
    <w:p>
      <w:pPr>
        <w:spacing w:after="160"/>
      </w:pPr>
      <w:r>
        <w:t xml:space="preserve">The Week 1 and 2 experiments produced outputs structured around findings: flagged issues, reviewer notes, clean results. What neither experiment tested was how the AI should communicate when it is not sure — when a field was partially extracted, when a document was ambiguous, when a policy section did not cleanly cover the scenario.</w:t>
      </w:r>
    </w:p>
    <w:p>
      <w:pPr>
        <w:spacing w:after="160"/>
      </w:pPr>
      <w:r>
        <w:t xml:space="preserve">The instinct might be to surface a confidence score. But a finding labeled ‘80% confidence’ is not operationally useful to a permit reviewer. It does not tell them what to check, why the AI was uncertain, or what information would resolve it. It just introduces a number they have no framework to act 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Uncertainty type</w:t>
            </w:r>
          </w:p>
        </w:tc>
        <w:tc>
          <w:tcPr>
            <w:tcW w:type="dxa" w:w="702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Operationally useful communication</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Field extraction uncertain</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Name the field, show what was extracted, flag that OCR confidence was low. Example: “VIN (Vehicle 1, Title): extracted as 4T1BF3EK9AU04523 — last digit unclear in scan. Recommend manual verification.”</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Policy section ambiguous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Cite the section, describe the ambiguity, escalate. Example: “Section 4.2 requires four-door vehicles. Vehicle configuration in lease agreement is described as ‘cargo variant’ — seating configuration not stated. Requires human judgment.”</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Document field absent</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Distinguish between ‘field not present in document’ and ‘document not submitted.’ Both are gaps but they require different reviewer actions.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Conflicting signals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Surface both values and the source of each. Do not attempt to resolve which is correct. Example: “Business name: Application shows ‘Rio Star Transportation LLC’; insurance certificate shows ‘Rio Star Transport LLC’. Reviewer to determine whether variation is material.”</w:t>
            </w:r>
          </w:p>
        </w:tc>
      </w:tr>
    </w:tbl>
    <w:p>
      <w:pPr>
        <w:spacing w:after="120"/>
      </w:pPr>
    </w:p>
    <w:p>
      <w:pPr>
        <w:spacing w:after="160"/>
      </w:pPr>
      <w:r>
        <w:t xml:space="preserve">The pattern across all four types: uncertainty communication should be specific enough that the reviewer knows exactly what to check and what information would resolve it. Vague hedges (‘this may need review’) add noise. Precise uncertainty statements add value.</w:t>
      </w:r>
    </w:p>
    <w:p>
      <w:pPr>
        <w:spacing w:after="120"/>
      </w:pPr>
    </w:p>
    <w:p>
      <w:pPr>
        <w:pStyle w:val="Heading2"/>
      </w:pPr>
      <w:r>
        <w:t xml:space="preserve">When a reviewer overrides an AI finding — should it be logged?</w:t>
      </w:r>
    </w:p>
    <w:p>
      <w:pPr>
        <w:spacing w:after="160"/>
      </w:pPr>
      <w:r>
        <w:t xml:space="preserve">The short answer is yes. But the more important question is: logged how, and used for what?</w:t>
      </w:r>
    </w:p>
    <w:p>
      <w:pPr>
        <w:spacing w:after="160"/>
      </w:pPr>
      <w:r>
        <w:t xml:space="preserve">An override log has two distinct purposes that pull in slightly different directions. The first is audit: if a decision is later contested, the record should show what the AI flagged, what the reviewer decided, and why. That’s a records management requirement, not an AI question. The second is learning: if reviewers are consistently overriding a particular type of AI finding, that pattern is signal — either the AI is miscalibrated on that finding type, or the reviewers have a shared misunderstanding of policy that the AI is correctly identifying.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What to log</w:t>
            </w:r>
          </w:p>
        </w:tc>
        <w:tc>
          <w:tcPr>
            <w:tcW w:type="dxa" w:w="702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Why it matters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The AI finding being overridden</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Establishes what the AI said. Without this, the override has no reference point for audit or analysis.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The reviewer’s determination</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What did the reviewer decide instead? This is the human judgment that overrides the AI — it needs to be recorded, not just inferred from the decision outcome.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The reason (structured)</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A free-text reason field will produce unusable data at scale. A structured reason field — ‘AI extraction error,’ ‘policy edge case,’ ‘applicant provided clarification’ — produces data that can identify patterns.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Timestamp and reviewer ID</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Standard audit trail requirement. Also enables analysis of whether override patterns vary by reviewer — a signal about training needs or calibration differences.</w:t>
            </w:r>
          </w:p>
        </w:tc>
      </w:tr>
    </w:tbl>
    <w:p>
      <w:pPr>
        <w:spacing w:after="120"/>
      </w:pPr>
    </w:p>
    <w:p>
      <w:pPr>
        <w:pBdr>
          <w:left w:val="single" w:color="2E75B6" w:sz="4" w:space="8"/>
        </w:pBdr>
        <w:spacing w:after="160"/>
        <w:ind w:left="720"/>
      </w:pPr>
      <w:r>
        <w:rPr>
          <w:i/>
          <w:iCs/>
          <w:color w:val="444444"/>
        </w:rPr>
        <w:t xml:space="preserve">One tension worth naming: if reviewers know their overrides are being logged and analyzed, some may become reluctant to override the AI even when they should. The override log is a tool for improvement, not a performance metric. That distinction needs to be explicit in how the system is introduced to staff.</w:t>
      </w:r>
    </w:p>
    <w:p>
      <w:pPr>
        <w:spacing w:after="120"/>
      </w:pPr>
    </w:p>
    <w:p>
      <w:pPr>
        <w:pStyle w:val="Heading1"/>
      </w:pPr>
      <w:r>
        <w:t xml:space="preserve">Part 3 — Equity and Population-Level Effects</w:t>
      </w:r>
    </w:p>
    <w:p>
      <w:pPr>
        <w:spacing w:after="160"/>
      </w:pPr>
      <w:r>
        <w:t xml:space="preserve">The equity question in civic AI is not whether a tool discriminates in intent — it is whether it produces disparate outcomes across applicant populations in practice. A tool that is 95% accurate overall can still systematically fail the 5% of applicants who submit scanned documents, who have non-standard business structures, or who complete forms in a language other than English.</w:t>
      </w:r>
    </w:p>
    <w:p>
      <w:pPr>
        <w:spacing w:after="160"/>
      </w:pPr>
      <w:r>
        <w:t xml:space="preserve">The challenge is that you typically cannot measure this without a large enough sample to segment. A permit office running 200 applications through an AI tool does not have the statistical power to compare error rates across demographic or document-quality subgroups. So how do you approach equity evaluation before you have that data?</w:t>
      </w:r>
    </w:p>
    <w:p>
      <w:pPr>
        <w:spacing w:after="120"/>
      </w:pPr>
    </w:p>
    <w:p>
      <w:pPr>
        <w:pStyle w:val="Heading2"/>
      </w:pPr>
      <w:r>
        <w:t xml:space="preserve">Proxy indicators before sample size allows segmentation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Proxy indicator</w:t>
            </w:r>
          </w:p>
        </w:tc>
        <w:tc>
          <w:tcPr>
            <w:tcW w:type="dxa" w:w="702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What it surfaces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Document quality distribution</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Track what percentage of applications include scanned vs. digital documents, handwritten fields, or non-English text. If the AI’s error rate correlates with document quality, and document quality correlates with applicant population, that is a disparity signal even without demographic data.</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Override rate by finding type</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If reviewers are overriding AI findings on a particular document type (e.g., lease agreements from non-standard lessors) at a higher rate, that finding type may be producing errors concentrated in a specific applicant population.</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Deficiency notice rate before and after AI assist</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If the AI reduces deficiency notices overall but the remaining notices concentrate in a subgroup, the tool may be shifting burden rather than reducing it. Track whether the distribution of deficiency notices changes, not just the total.</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False negative audit on cleared applications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Periodically pull a sample of applications the AI cleared and review them manually. If missed issues cluster in applications with certain characteristics (document quality, business structure, vehicle configuration), that is actionable signal.</w:t>
            </w:r>
          </w:p>
        </w:tc>
      </w:tr>
    </w:tbl>
    <w:p>
      <w:pPr>
        <w:spacing w:after="120"/>
      </w:pPr>
    </w:p>
    <w:p>
      <w:pPr>
        <w:pStyle w:val="Heading2"/>
      </w:pPr>
      <w:r>
        <w:t xml:space="preserve">The harder constraint: you may not know what you don’t know</w:t>
      </w:r>
    </w:p>
    <w:p>
      <w:pPr>
        <w:spacing w:after="160"/>
      </w:pPr>
      <w:r>
        <w:t xml:space="preserve">Proxy indicators help, but they have a fundamental limitation: they identify disparities that are visible in the data you are already collecting. If the AI is failing a population in a way that does not produce overrides or deficiency notices — because reviewers do not catch the error either — it will not show up in any of these proxies.</w:t>
      </w:r>
    </w:p>
    <w:p>
      <w:pPr>
        <w:spacing w:after="160"/>
      </w:pPr>
      <w:r>
        <w:t xml:space="preserve">This is why adversarial evaluation matters before deployment, not just after. Deliberately test the tool on document types that are likely to be harder: low-resolution scans, non-standard formats, unusual business structures, edge cases in vehicle configuration. If detection degrades on those inputs, that degradation is an equity risk, because those inputs are not randomly distributed across applicant populations.</w:t>
      </w:r>
    </w:p>
    <w:p>
      <w:pPr>
        <w:spacing w:after="120"/>
      </w:pPr>
    </w:p>
    <w:p>
      <w:pPr>
        <w:pBdr>
          <w:left w:val="single" w:color="2E75B6" w:sz="4" w:space="8"/>
        </w:pBdr>
        <w:spacing w:after="160"/>
        <w:ind w:left="720"/>
      </w:pPr>
      <w:r>
        <w:rPr>
          <w:i/>
          <w:iCs/>
          <w:color w:val="444444"/>
        </w:rPr>
        <w:t xml:space="preserve">The equity question cannot be fully answered with the data a single permit office generates. But it can be partially answered before deployment by testing the tool against the conditions most likely to produce disparate outcomes — and being honest about what was not tested.</w:t>
      </w:r>
    </w:p>
    <w:p>
      <w:pPr>
        <w:spacing w:after="120"/>
      </w:pPr>
    </w:p>
    <w:p>
      <w:pPr>
        <w:pStyle w:val="Heading1"/>
      </w:pPr>
      <w:r>
        <w:t xml:space="preserve">Where Humans Must Stay Central</w:t>
      </w:r>
    </w:p>
    <w:p>
      <w:pPr>
        <w:spacing w:after="160"/>
      </w:pPr>
      <w:r>
        <w:t xml:space="preserve">This analysis surfaces three human-in-the-loop requirements that go beyond the ones identified in Week 1 and 2:</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Requirement</w:t>
            </w:r>
          </w:p>
        </w:tc>
        <w:tc>
          <w:tcPr>
            <w:tcW w:type="dxa" w:w="702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What it means in practice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Uncertainty resolution</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When the AI flags a field as uncertain or unreadable, a human must verify the source document directly. The AI cannot resolve its own uncertainty. The reviewer’s job in these cases is not to judge the AI output — it is to go back to the document.</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Override judgment</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Reviewers must feel genuinely empowered to override AI findings when their judgment differs. If the tool’s authority crowds out reviewer discretion — even informally — the human-in-the-loop structure has failed in practice even if it exists on paper.</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Equity monitoring</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Someone must own the question of whether the tool is producing disparate outcomes. This is not a technical function — it is a policy and accountability function that requires a human to define what equity means in this context and monitor for it over time.</w:t>
            </w:r>
          </w:p>
        </w:tc>
      </w:tr>
    </w:tbl>
    <w:p>
      <w:pPr>
        <w:spacing w:after="120"/>
      </w:pPr>
    </w:p>
    <w:p>
      <w:pPr>
        <w:pStyle w:val="Heading1"/>
      </w:pPr>
      <w:r>
        <w:t xml:space="preserve">Open Questions Going Into Wednesday’s Experiment</w:t>
      </w:r>
    </w:p>
    <w:p>
      <w:pPr>
        <w:pStyle w:val="ListParagraph"/>
        <w:numPr>
          <w:ilvl w:val="0"/>
          <w:numId w:val="2"/>
        </w:numPr>
        <w:spacing w:after="80"/>
      </w:pPr>
      <w:r>
        <w:t xml:space="preserve">When the AI encounters a partially unreadable field, does it flag the uncertainty explicitly, attempt to extract anyway and present a potentially wrong value, or skip the field silently? Wednesday’s experiment should test all three scenarios.</w:t>
      </w:r>
    </w:p>
    <w:p>
      <w:pPr>
        <w:pStyle w:val="ListParagraph"/>
        <w:numPr>
          <w:ilvl w:val="0"/>
          <w:numId w:val="2"/>
        </w:numPr>
        <w:spacing w:after="80"/>
      </w:pPr>
      <w:r>
        <w:t xml:space="preserve">At what level of document degradation does the AI’s output become less reliable than a human reviewer working from the same document? That threshold is the practical deployment boundary.</w:t>
      </w:r>
    </w:p>
    <w:p>
      <w:pPr>
        <w:pStyle w:val="ListParagraph"/>
        <w:numPr>
          <w:ilvl w:val="0"/>
          <w:numId w:val="2"/>
        </w:numPr>
        <w:spacing w:after="80"/>
      </w:pPr>
      <w:r>
        <w:t xml:space="preserve">If two reviewers run the same degraded application through the AI in separate sessions, do they get consistent outputs? Inconsistency under degraded conditions is a different problem than inconsistency under clean conditions — and more likely.</w:t>
      </w:r>
    </w:p>
    <w:p>
      <w:pPr>
        <w:pStyle w:val="ListParagraph"/>
        <w:numPr>
          <w:ilvl w:val="0"/>
          <w:numId w:val="2"/>
        </w:numPr>
        <w:spacing w:after="80"/>
      </w:pPr>
      <w:r>
        <w:t xml:space="preserve">How should the output format change when the AI is uncertain? The Week 1 and 2 outputs used a clean five-section structure. Uncertainty may require a different presentation — one that makes the AI’s confidence level visible without burying the reviewer in caveats.</w:t>
      </w:r>
    </w:p>
    <w:p>
      <w:pPr>
        <w:spacing w:after="120"/>
      </w:pPr>
    </w:p>
    <w:p>
      <w:pPr>
        <w:pBdr>
          <w:top w:val="single" w:color="CCCCCC" w:sz="4" w:space="8"/>
        </w:pBdr>
        <w:spacing w:after="0" w:before="240"/>
      </w:pPr>
      <w:r>
        <w:rPr>
          <w:i/>
          <w:iCs/>
          <w:color w:val="777777"/>
          <w:sz w:val="18"/>
          <w:szCs w:val="18"/>
        </w:rPr>
        <w:t xml:space="preserve">Week 3 workflow analysis — Civic AI 30-Day Research &amp; Practice System. Living notes, updated as thinking evolves.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2026-06-09T12:12:21.155Z</dcterms:created>
  <dcterms:modified xsi:type="dcterms:W3CDTF">2026-06-09T12:12:21.174Z</dcterms:modified>
</cp:coreProperties>
</file>

<file path=docProps/custom.xml><?xml version="1.0" encoding="utf-8"?>
<Properties xmlns="http://schemas.openxmlformats.org/officeDocument/2006/custom-properties" xmlns:vt="http://schemas.openxmlformats.org/officeDocument/2006/docPropsVTypes"/>
</file>