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CITY OF AUSTIN — TRANSPORTATION DEPARTMENT</w:t>
      </w:r>
    </w:p>
    <w:p>
      <w:pPr>
        <w:spacing w:after="60"/>
      </w:pPr>
      <w:r>
        <w:rPr>
          <w:rFonts w:ascii="Arial" w:cs="Arial" w:eastAsia="Arial" w:hAnsi="Arial"/>
          <w:color w:val="666666"/>
          <w:sz w:val="20"/>
          <w:szCs w:val="20"/>
        </w:rPr>
        <w:t xml:space="preserve">Administrative Policy AP-TNC-2024-01     Effective: March 1, 2024     Status: Active</w:t>
      </w:r>
    </w:p>
    <w:p>
      <w:pPr>
        <w:pBdr>
          <w:bottom w:val="single" w:color="2E5496" w:sz="6" w:space="1"/>
        </w:pBdr>
        <w:spacing w:after="60"/>
      </w:pPr>
      <w:r>
        <w:rPr>
          <w:rFonts w:ascii="Arial" w:cs="Arial" w:eastAsia="Arial" w:hAnsi="Arial"/>
          <w:b/>
          <w:bCs/>
          <w:sz w:val="24"/>
          <w:szCs w:val="24"/>
        </w:rPr>
        <w:t xml:space="preserve">TNC Operating Authority License — Requirements and Eligibility Standards</w:t>
      </w:r>
    </w:p>
    <w:p>
      <w:pPr>
        <w:spacing w:after="80"/>
      </w:pPr>
      <w:r>
        <w:t xml:space="preserve"/>
      </w:r>
    </w:p>
    <w:p>
      <w:pPr>
        <w:pStyle w:val="Heading1"/>
      </w:pPr>
      <w:r>
        <w:rPr>
          <w:rFonts w:ascii="Arial" w:cs="Arial" w:eastAsia="Arial" w:hAnsi="Arial"/>
          <w:b/>
          <w:bCs/>
          <w:sz w:val="26"/>
          <w:szCs w:val="26"/>
        </w:rPr>
        <w:t xml:space="preserve">Section 1 — Purpose and Scope</w:t>
      </w:r>
    </w:p>
    <w:p>
      <w:pPr>
        <w:spacing w:after="100"/>
      </w:pPr>
      <w:r>
        <w:rPr>
          <w:rFonts w:ascii="Arial" w:cs="Arial" w:eastAsia="Arial" w:hAnsi="Arial"/>
          <w:b w:val="false"/>
          <w:bCs w:val="false"/>
          <w:i w:val="false"/>
          <w:iCs w:val="false"/>
          <w:sz w:val="20"/>
          <w:szCs w:val="20"/>
        </w:rPr>
        <w:t xml:space="preserve">This policy establishes the minimum requirements for obtaining a Transportation Network Company (TNC) Operating Authority License from the City of Austin Transportation Department. All persons and entities operating a TNC service within the City of Austin or Travis County must obtain a license prior to commencing operations.</w:t>
      </w:r>
    </w:p>
    <w:p>
      <w:pPr>
        <w:spacing w:after="80"/>
      </w:pPr>
      <w:r>
        <w:t xml:space="preserve"/>
      </w:r>
    </w:p>
    <w:p>
      <w:pPr>
        <w:pStyle w:val="Heading1"/>
      </w:pPr>
      <w:r>
        <w:rPr>
          <w:rFonts w:ascii="Arial" w:cs="Arial" w:eastAsia="Arial" w:hAnsi="Arial"/>
          <w:b/>
          <w:bCs/>
          <w:sz w:val="26"/>
          <w:szCs w:val="26"/>
        </w:rPr>
        <w:t xml:space="preserve">Section 2 — Business Entity Requirements</w:t>
      </w:r>
    </w:p>
    <w:p>
      <w:pPr>
        <w:spacing w:after="100"/>
      </w:pPr>
      <w:r>
        <w:rPr>
          <w:rFonts w:ascii="Arial" w:cs="Arial" w:eastAsia="Arial" w:hAnsi="Arial"/>
          <w:b w:val="false"/>
          <w:bCs w:val="false"/>
          <w:i w:val="false"/>
          <w:iCs w:val="false"/>
          <w:sz w:val="20"/>
          <w:szCs w:val="20"/>
        </w:rPr>
        <w:t xml:space="preserve">2.1  The applicant must operate under a legally registered business entity. Sole proprietorships are not eligible for a TNC Operating Authority License.</w:t>
      </w:r>
    </w:p>
    <w:p>
      <w:pPr>
        <w:spacing w:after="100"/>
      </w:pPr>
      <w:r>
        <w:rPr>
          <w:rFonts w:ascii="Arial" w:cs="Arial" w:eastAsia="Arial" w:hAnsi="Arial"/>
          <w:b w:val="false"/>
          <w:bCs w:val="false"/>
          <w:i w:val="false"/>
          <w:iCs w:val="false"/>
          <w:sz w:val="20"/>
          <w:szCs w:val="20"/>
        </w:rPr>
        <w:t xml:space="preserve">2.2  The business must be registered with the Texas Secretary of State as a Domestic Limited Liability Company, a Domestic Corporation, or a Foreign Entity authorized to conduct business in Texas.</w:t>
      </w:r>
    </w:p>
    <w:p>
      <w:pPr>
        <w:spacing w:after="100"/>
      </w:pPr>
      <w:r>
        <w:rPr>
          <w:rFonts w:ascii="Arial" w:cs="Arial" w:eastAsia="Arial" w:hAnsi="Arial"/>
          <w:b w:val="false"/>
          <w:bCs w:val="false"/>
          <w:i w:val="false"/>
          <w:iCs w:val="false"/>
          <w:sz w:val="20"/>
          <w:szCs w:val="20"/>
        </w:rPr>
        <w:t xml:space="preserve">2.3  The TX SOS File Number provided on the application must match the active registration on file with the Texas Secretary of State at the time of application.</w:t>
      </w:r>
    </w:p>
    <w:p>
      <w:pPr>
        <w:spacing w:after="100"/>
      </w:pPr>
      <w:r>
        <w:rPr>
          <w:rFonts w:ascii="Arial" w:cs="Arial" w:eastAsia="Arial" w:hAnsi="Arial"/>
          <w:b w:val="false"/>
          <w:bCs w:val="false"/>
          <w:i w:val="false"/>
          <w:iCs w:val="false"/>
          <w:sz w:val="20"/>
          <w:szCs w:val="20"/>
        </w:rPr>
        <w:t xml:space="preserve">2.4  The registered agent address on the TX SOS certificate must be located within Travis County.</w:t>
      </w:r>
    </w:p>
    <w:p>
      <w:pPr>
        <w:spacing w:after="80"/>
      </w:pPr>
      <w:r>
        <w:t xml:space="preserve"/>
      </w:r>
    </w:p>
    <w:p>
      <w:pPr>
        <w:pStyle w:val="Heading1"/>
      </w:pPr>
      <w:r>
        <w:rPr>
          <w:rFonts w:ascii="Arial" w:cs="Arial" w:eastAsia="Arial" w:hAnsi="Arial"/>
          <w:b/>
          <w:bCs/>
          <w:sz w:val="26"/>
          <w:szCs w:val="26"/>
        </w:rPr>
        <w:t xml:space="preserve">Section 3 — Insurance Requirements</w:t>
      </w:r>
    </w:p>
    <w:p>
      <w:pPr>
        <w:spacing w:after="100"/>
      </w:pPr>
      <w:r>
        <w:rPr>
          <w:rFonts w:ascii="Arial" w:cs="Arial" w:eastAsia="Arial" w:hAnsi="Arial"/>
          <w:b w:val="false"/>
          <w:bCs w:val="false"/>
          <w:i w:val="false"/>
          <w:iCs w:val="false"/>
          <w:sz w:val="20"/>
          <w:szCs w:val="20"/>
        </w:rPr>
        <w:t xml:space="preserve">3.1  The applicant must provide a current Commercial Auto Insurance Certificate naming the City of Austin Transportation Department as certificate holder.</w:t>
      </w:r>
    </w:p>
    <w:p>
      <w:pPr>
        <w:spacing w:after="100"/>
      </w:pPr>
      <w:r>
        <w:rPr>
          <w:rFonts w:ascii="Arial" w:cs="Arial" w:eastAsia="Arial" w:hAnsi="Arial"/>
          <w:b w:val="false"/>
          <w:bCs w:val="false"/>
          <w:i w:val="false"/>
          <w:iCs w:val="false"/>
          <w:sz w:val="20"/>
          <w:szCs w:val="20"/>
        </w:rPr>
        <w:t xml:space="preserve">3.2  The policy must provide a minimum liability coverage of $1,500,000 per occurrence for commercial TNC operations.</w:t>
      </w:r>
    </w:p>
    <w:p>
      <w:pPr>
        <w:spacing w:after="100"/>
      </w:pPr>
      <w:r>
        <w:rPr>
          <w:rFonts w:ascii="Arial" w:cs="Arial" w:eastAsia="Arial" w:hAnsi="Arial"/>
          <w:b w:val="false"/>
          <w:bCs w:val="false"/>
          <w:i w:val="false"/>
          <w:iCs w:val="false"/>
          <w:sz w:val="20"/>
          <w:szCs w:val="20"/>
        </w:rPr>
        <w:t xml:space="preserve">3.3  The coverage type must be designated as Commercial Transportation — TNC. Personal auto policies do not satisfy this requirement regardless of coverage amount.</w:t>
      </w:r>
    </w:p>
    <w:p>
      <w:pPr>
        <w:spacing w:after="100"/>
      </w:pPr>
      <w:r>
        <w:rPr>
          <w:rFonts w:ascii="Arial" w:cs="Arial" w:eastAsia="Arial" w:hAnsi="Arial"/>
          <w:b w:val="false"/>
          <w:bCs w:val="false"/>
          <w:i w:val="false"/>
          <w:iCs w:val="false"/>
          <w:sz w:val="20"/>
          <w:szCs w:val="20"/>
        </w:rPr>
        <w:t xml:space="preserve">3.4  The policy must be active on the date of application and must cover all vehicles listed on the application.</w:t>
      </w:r>
    </w:p>
    <w:p>
      <w:pPr>
        <w:spacing w:after="100"/>
      </w:pPr>
      <w:r>
        <w:rPr>
          <w:rFonts w:ascii="Arial" w:cs="Arial" w:eastAsia="Arial" w:hAnsi="Arial"/>
          <w:b w:val="false"/>
          <w:bCs w:val="false"/>
          <w:i w:val="false"/>
          <w:iCs w:val="false"/>
          <w:sz w:val="20"/>
          <w:szCs w:val="20"/>
        </w:rPr>
        <w:t xml:space="preserve">3.5  The named insured on the insurance certificate must match the registered business name on the application.</w:t>
      </w:r>
    </w:p>
    <w:p>
      <w:pPr>
        <w:spacing w:after="80"/>
      </w:pPr>
      <w:r>
        <w:t xml:space="preserve"/>
      </w:r>
    </w:p>
    <w:p>
      <w:pPr>
        <w:pStyle w:val="Heading1"/>
      </w:pPr>
      <w:r>
        <w:rPr>
          <w:rFonts w:ascii="Arial" w:cs="Arial" w:eastAsia="Arial" w:hAnsi="Arial"/>
          <w:b/>
          <w:bCs/>
          <w:sz w:val="26"/>
          <w:szCs w:val="26"/>
        </w:rPr>
        <w:t xml:space="preserve">Section 4 — Vehicle Eligibility Requirements</w:t>
      </w:r>
    </w:p>
    <w:p>
      <w:pPr>
        <w:spacing w:after="100"/>
      </w:pPr>
      <w:r>
        <w:rPr>
          <w:rFonts w:ascii="Arial" w:cs="Arial" w:eastAsia="Arial" w:hAnsi="Arial"/>
          <w:b w:val="false"/>
          <w:bCs w:val="false"/>
          <w:i w:val="false"/>
          <w:iCs w:val="false"/>
          <w:sz w:val="20"/>
          <w:szCs w:val="20"/>
        </w:rPr>
        <w:t xml:space="preserve">4.1  All vehicles listed on the application must be no more than eight (8) model years old at the time of application. The model year is determined by the vehicle year as listed on the title or lease agreement.</w:t>
      </w:r>
    </w:p>
    <w:p>
      <w:pPr>
        <w:spacing w:after="100"/>
      </w:pPr>
      <w:r>
        <w:rPr>
          <w:rFonts w:ascii="Arial" w:cs="Arial" w:eastAsia="Arial" w:hAnsi="Arial"/>
          <w:b w:val="false"/>
          <w:bCs w:val="false"/>
          <w:i w:val="false"/>
          <w:iCs w:val="false"/>
          <w:sz w:val="20"/>
          <w:szCs w:val="20"/>
        </w:rPr>
        <w:t xml:space="preserve">4.2  Vehicles must be four-door passenger vehicles or qualifying multi-passenger vehicles (minivans, SUVs with seating for six or more). Two-door vehicles are not eligible.</w:t>
      </w:r>
    </w:p>
    <w:p>
      <w:pPr>
        <w:spacing w:after="100"/>
      </w:pPr>
      <w:r>
        <w:rPr>
          <w:rFonts w:ascii="Arial" w:cs="Arial" w:eastAsia="Arial" w:hAnsi="Arial"/>
          <w:b w:val="false"/>
          <w:bCs w:val="false"/>
          <w:i w:val="false"/>
          <w:iCs w:val="false"/>
          <w:sz w:val="20"/>
          <w:szCs w:val="20"/>
        </w:rPr>
        <w:t xml:space="preserve">4.3  Vehicles with a salvage, rebuilt, or flood title designation are not eligible.</w:t>
      </w:r>
    </w:p>
    <w:p>
      <w:pPr>
        <w:spacing w:after="100"/>
      </w:pPr>
      <w:r>
        <w:rPr>
          <w:rFonts w:ascii="Arial" w:cs="Arial" w:eastAsia="Arial" w:hAnsi="Arial"/>
          <w:b w:val="false"/>
          <w:bCs w:val="false"/>
          <w:i w:val="false"/>
          <w:iCs w:val="false"/>
          <w:sz w:val="20"/>
          <w:szCs w:val="20"/>
        </w:rPr>
        <w:t xml:space="preserve">4.4  For owned vehicles, applicant must provide the Texas DMV motor vehicle title showing the applicant or the applicant's registered business entity as the titled owner.</w:t>
      </w:r>
    </w:p>
    <w:p>
      <w:pPr>
        <w:spacing w:after="100"/>
      </w:pPr>
      <w:r>
        <w:rPr>
          <w:rFonts w:ascii="Arial" w:cs="Arial" w:eastAsia="Arial" w:hAnsi="Arial"/>
          <w:b w:val="false"/>
          <w:bCs w:val="false"/>
          <w:i w:val="false"/>
          <w:iCs w:val="false"/>
          <w:sz w:val="20"/>
          <w:szCs w:val="20"/>
        </w:rPr>
        <w:t xml:space="preserve">4.5  For leased vehicles, applicant must provide a signed commercial vehicle lease agreement. The permitted use on the lease must explicitly authorize commercial TNC operations. The lessee must be the applicant or the applicant's registered business entity.</w:t>
      </w:r>
    </w:p>
    <w:p>
      <w:pPr>
        <w:spacing w:after="100"/>
      </w:pPr>
      <w:r>
        <w:rPr>
          <w:rFonts w:ascii="Arial" w:cs="Arial" w:eastAsia="Arial" w:hAnsi="Arial"/>
          <w:b w:val="false"/>
          <w:bCs w:val="false"/>
          <w:i w:val="false"/>
          <w:iCs w:val="false"/>
          <w:sz w:val="20"/>
          <w:szCs w:val="20"/>
        </w:rPr>
        <w:t xml:space="preserve">4.6  The VIN reported on the application must match the VIN on the title or lease agreement for each vehicle.</w:t>
      </w:r>
    </w:p>
    <w:p>
      <w:pPr>
        <w:spacing w:after="80"/>
      </w:pPr>
      <w:r>
        <w:t xml:space="preserve"/>
      </w:r>
    </w:p>
    <w:p>
      <w:pPr>
        <w:pStyle w:val="Heading1"/>
      </w:pPr>
      <w:r>
        <w:rPr>
          <w:rFonts w:ascii="Arial" w:cs="Arial" w:eastAsia="Arial" w:hAnsi="Arial"/>
          <w:b/>
          <w:bCs/>
          <w:sz w:val="26"/>
          <w:szCs w:val="26"/>
        </w:rPr>
        <w:t xml:space="preserve">Section 5 — Applicant Requirements</w:t>
      </w:r>
    </w:p>
    <w:p>
      <w:pPr>
        <w:spacing w:after="100"/>
      </w:pPr>
      <w:r>
        <w:rPr>
          <w:rFonts w:ascii="Arial" w:cs="Arial" w:eastAsia="Arial" w:hAnsi="Arial"/>
          <w:b w:val="false"/>
          <w:bCs w:val="false"/>
          <w:i w:val="false"/>
          <w:iCs w:val="false"/>
          <w:sz w:val="20"/>
          <w:szCs w:val="20"/>
        </w:rPr>
        <w:t xml:space="preserve">5.1  The applicant must hold a valid Texas Driver License at the time of application.</w:t>
      </w:r>
    </w:p>
    <w:p>
      <w:pPr>
        <w:spacing w:after="100"/>
      </w:pPr>
      <w:r>
        <w:rPr>
          <w:rFonts w:ascii="Arial" w:cs="Arial" w:eastAsia="Arial" w:hAnsi="Arial"/>
          <w:b w:val="false"/>
          <w:bCs w:val="false"/>
          <w:i w:val="false"/>
          <w:iCs w:val="false"/>
          <w:sz w:val="20"/>
          <w:szCs w:val="20"/>
        </w:rPr>
        <w:t xml:space="preserve">5.2  The applicant must be the registered agent or a designated authorized representative of the business entity.</w:t>
      </w:r>
    </w:p>
    <w:p>
      <w:pPr>
        <w:spacing w:after="80"/>
      </w:pPr>
      <w:r>
        <w:t xml:space="preserve"/>
      </w:r>
    </w:p>
    <w:p>
      <w:pPr>
        <w:pStyle w:val="Heading1"/>
      </w:pPr>
      <w:r>
        <w:rPr>
          <w:rFonts w:ascii="Arial" w:cs="Arial" w:eastAsia="Arial" w:hAnsi="Arial"/>
          <w:b/>
          <w:bCs/>
          <w:sz w:val="26"/>
          <w:szCs w:val="26"/>
        </w:rPr>
        <w:t xml:space="preserve">Section 6 — License Term and Renewal</w:t>
      </w:r>
    </w:p>
    <w:p>
      <w:pPr>
        <w:spacing w:after="100"/>
      </w:pPr>
      <w:r>
        <w:rPr>
          <w:rFonts w:ascii="Arial" w:cs="Arial" w:eastAsia="Arial" w:hAnsi="Arial"/>
          <w:b w:val="false"/>
          <w:bCs w:val="false"/>
          <w:i w:val="false"/>
          <w:iCs w:val="false"/>
          <w:sz w:val="20"/>
          <w:szCs w:val="20"/>
        </w:rPr>
        <w:t xml:space="preserve">6.1  A TNC Operating Authority License is valid for one (1) calendar year from the date of issuance.</w:t>
      </w:r>
    </w:p>
    <w:p>
      <w:pPr>
        <w:spacing w:after="100"/>
      </w:pPr>
      <w:r>
        <w:rPr>
          <w:rFonts w:ascii="Arial" w:cs="Arial" w:eastAsia="Arial" w:hAnsi="Arial"/>
          <w:b w:val="false"/>
          <w:bCs w:val="false"/>
          <w:i w:val="false"/>
          <w:iCs w:val="false"/>
          <w:sz w:val="20"/>
          <w:szCs w:val="20"/>
        </w:rPr>
        <w:t xml:space="preserve">6.2  Insurance certificates that expire during the license term must be renewed and a replacement certificate submitted to the Transportation Department prior to expiration.</w:t>
      </w:r>
    </w:p>
    <w:p>
      <w:pPr>
        <w:spacing w:after="80"/>
      </w:pPr>
      <w:r>
        <w:t xml:space="preserve"/>
      </w:r>
    </w:p>
    <w:p>
      <w:pPr>
        <w:pBdr>
          <w:top w:val="single" w:color="CCCCCC" w:sz="2" w:space="1"/>
        </w:pBdr>
        <w:spacing w:before="200"/>
      </w:pPr>
      <w:r>
        <w:rPr>
          <w:rFonts w:ascii="Arial" w:cs="Arial" w:eastAsia="Arial" w:hAnsi="Arial"/>
          <w:i/>
          <w:iCs/>
          <w:color w:val="888888"/>
          <w:sz w:val="18"/>
          <w:szCs w:val="18"/>
        </w:rPr>
        <w:t xml:space="preserve">City of Austin Transportation Department — Administrative Policy AP-TNC-2024-01. This is a fictional policy document created for AI research and experimentation purposes.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2026-06-03T12:22:46.071Z</dcterms:created>
  <dcterms:modified xsi:type="dcterms:W3CDTF">2026-06-03T12:22:46.083Z</dcterms:modified>
</cp:coreProperties>
</file>

<file path=docProps/custom.xml><?xml version="1.0" encoding="utf-8"?>
<Properties xmlns="http://schemas.openxmlformats.org/officeDocument/2006/custom-properties" xmlns:vt="http://schemas.openxmlformats.org/officeDocument/2006/docPropsVTypes"/>
</file>