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8"/>
          <w:szCs w:val="28"/>
        </w:rPr>
        <w:t xml:space="preserve">CIVIC AI WORKFLOW ANALYSIS</w:t>
      </w:r>
    </w:p>
    <w:p>
      <w:pPr>
        <w:spacing w:after="60"/>
      </w:pPr>
      <w:r>
        <w:rPr>
          <w:rFonts w:ascii="Arial" w:cs="Arial" w:eastAsia="Arial" w:hAnsi="Arial"/>
          <w:color w:val="666666"/>
          <w:sz w:val="20"/>
          <w:szCs w:val="20"/>
        </w:rPr>
        <w:t xml:space="preserve">Week 2, Tuesday — June 3, 2026</w:t>
      </w:r>
    </w:p>
    <w:p>
      <w:pPr>
        <w:pBdr>
          <w:bottom w:val="single" w:color="2E5496" w:sz="6" w:space="1"/>
        </w:pBdr>
        <w:spacing w:after="60"/>
      </w:pPr>
      <w:r>
        <w:rPr>
          <w:rFonts w:ascii="Arial" w:cs="Arial" w:eastAsia="Arial" w:hAnsi="Arial"/>
          <w:b/>
          <w:bCs/>
          <w:sz w:val="24"/>
          <w:szCs w:val="24"/>
        </w:rPr>
        <w:t xml:space="preserve">TNC Permit Intake &amp; Pre-Application Workflow</w:t>
      </w:r>
    </w:p>
    <w:p>
      <w:pPr>
        <w:spacing w:after="200"/>
      </w:pPr>
      <w:r>
        <w:rPr>
          <w:rFonts w:ascii="Arial" w:cs="Arial" w:eastAsia="Arial" w:hAnsi="Arial"/>
          <w:i/>
          <w:iCs/>
          <w:color w:val="555555"/>
          <w:sz w:val="20"/>
          <w:szCs w:val="20"/>
        </w:rPr>
        <w:t xml:space="preserve">Workflow analysis: applicant-side steps, cognitive load, document failure modes, and AI opportunity</w:t>
      </w:r>
    </w:p>
    <w:p>
      <w:pPr>
        <w:pStyle w:val="Heading1"/>
      </w:pPr>
      <w:r>
        <w:rPr>
          <w:rFonts w:ascii="Arial" w:cs="Arial" w:eastAsia="Arial" w:hAnsi="Arial"/>
          <w:b/>
          <w:bCs/>
          <w:sz w:val="28"/>
          <w:szCs w:val="28"/>
        </w:rPr>
        <w:t xml:space="preserve">Workflow Overview</w:t>
      </w:r>
    </w:p>
    <w:p>
      <w:pPr>
        <w:spacing w:after="120"/>
      </w:pPr>
      <w:r>
        <w:rPr>
          <w:rFonts w:ascii="Arial" w:cs="Arial" w:eastAsia="Arial" w:hAnsi="Arial"/>
          <w:i w:val="false"/>
          <w:iCs w:val="false"/>
          <w:sz w:val="20"/>
          <w:szCs w:val="20"/>
        </w:rPr>
        <w:t xml:space="preserve">This analysis focuses on the applicant-facing phase of the TNC operating authority license process — from the moment an applicant realizes they need a license through to a complete, submission-ready application package. The primary failure mode in this phase is document-related: applicants submit incomplete or mismatched packages because they did not know what was required before they started.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Applicant phase (this analysis)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sz w:val="20"/>
                <w:szCs w:val="20"/>
              </w:rPr>
              <w:t xml:space="preserve">Staff phase (Week 1 analysis)</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i w:val="false"/>
                <w:iCs w:val="false"/>
                <w:sz w:val="20"/>
                <w:szCs w:val="20"/>
              </w:rPr>
              <w:t xml:space="preserve">Discovery → preparation → completion → submission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Completeness → review → decision</w:t>
            </w:r>
          </w:p>
        </w:tc>
      </w:tr>
    </w:tbl>
    <w:p>
      <w:pPr>
        <w:spacing w:after="100"/>
      </w:pPr>
      <w:r>
        <w:t xml:space="preserve"/>
      </w:r>
    </w:p>
    <w:p>
      <w:pPr>
        <w:pStyle w:val="Heading1"/>
      </w:pPr>
      <w:r>
        <w:rPr>
          <w:rFonts w:ascii="Arial" w:cs="Arial" w:eastAsia="Arial" w:hAnsi="Arial"/>
          <w:b/>
          <w:bCs/>
          <w:sz w:val="28"/>
          <w:szCs w:val="28"/>
        </w:rPr>
        <w:t xml:space="preserve">Workflow Steps</w:t>
      </w:r>
    </w:p>
    <w:p>
      <w:pPr>
        <w:pStyle w:val="Heading2"/>
      </w:pPr>
      <w:r>
        <w:rPr>
          <w:rFonts w:ascii="Arial" w:cs="Arial" w:eastAsia="Arial" w:hAnsi="Arial"/>
          <w:b/>
          <w:bCs/>
          <w:sz w:val="22"/>
          <w:szCs w:val="22"/>
        </w:rPr>
        <w:t xml:space="preserve">Applicant Phase</w:t>
      </w:r>
    </w:p>
    <w:p>
      <w:pPr>
        <w:spacing w:after="80" w:before="160"/>
      </w:pPr>
      <w:r>
        <w:rPr>
          <w:rFonts w:ascii="Arial" w:cs="Arial" w:eastAsia="Arial" w:hAnsi="Arial"/>
          <w:b/>
          <w:bCs/>
          <w:sz w:val="22"/>
          <w:szCs w:val="22"/>
        </w:rPr>
        <w:t xml:space="preserve">1. Realizes a license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Applicant begins operating or planning to operate a TNC service in Austin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Recognition that a City of Austin operating authority license is required before operating</w:t>
            </w:r>
          </w:p>
        </w:tc>
      </w:tr>
    </w:tbl>
    <w:p>
      <w:pPr>
        <w:spacing w:after="100"/>
      </w:pPr>
      <w:r>
        <w:t xml:space="preserve"/>
      </w:r>
    </w:p>
    <w:p>
      <w:pPr>
        <w:spacing w:after="80" w:before="160"/>
      </w:pPr>
      <w:r>
        <w:rPr>
          <w:rFonts w:ascii="Arial" w:cs="Arial" w:eastAsia="Arial" w:hAnsi="Arial"/>
          <w:b/>
          <w:bCs/>
          <w:sz w:val="22"/>
          <w:szCs w:val="22"/>
        </w:rPr>
        <w:t xml:space="preserve">2. Finds the right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Applicant searches for how to get licensed — city website, web search, referral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Lands on the correct license type (TNC operating authority) and the correct application entry point</w:t>
            </w:r>
          </w:p>
        </w:tc>
      </w:tr>
    </w:tbl>
    <w:p>
      <w:pPr>
        <w:spacing w:after="100"/>
      </w:pPr>
      <w:r>
        <w:t xml:space="preserve"/>
      </w:r>
    </w:p>
    <w:p>
      <w:pPr>
        <w:spacing w:after="80" w:before="160"/>
      </w:pPr>
      <w:r>
        <w:rPr>
          <w:rFonts w:ascii="Arial" w:cs="Arial" w:eastAsia="Arial" w:hAnsi="Arial"/>
          <w:b/>
          <w:bCs/>
          <w:sz w:val="22"/>
          <w:szCs w:val="22"/>
        </w:rPr>
        <w:t xml:space="preserve">3. Understands what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Applicant reads requirements page or guidance materials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Understands eligibility criteria, required documents, and what the application form asks for</w:t>
            </w:r>
          </w:p>
        </w:tc>
      </w:tr>
    </w:tbl>
    <w:p>
      <w:pPr>
        <w:spacing w:after="100"/>
      </w:pPr>
      <w:r>
        <w:t xml:space="preserve"/>
      </w:r>
    </w:p>
    <w:p>
      <w:pPr>
        <w:spacing w:after="60" w:before="100"/>
      </w:pPr>
      <w:r>
        <w:rPr>
          <w:rFonts w:ascii="Arial" w:cs="Arial" w:eastAsia="Arial" w:hAnsi="Arial"/>
          <w:b/>
          <w:bCs/>
          <w:i/>
          <w:iCs/>
          <w:color w:val="C00000"/>
          <w:sz w:val="20"/>
          <w:szCs w:val="20"/>
        </w:rPr>
        <w:t xml:space="preserve">This is where document knowledge gaps concentrate.</w:t>
      </w:r>
    </w:p>
    <w:p>
      <w:pPr>
        <w:spacing w:after="120"/>
      </w:pPr>
      <w:r>
        <w:rPr>
          <w:rFonts w:ascii="Arial" w:cs="Arial" w:eastAsia="Arial" w:hAnsi="Arial"/>
          <w:i w:val="false"/>
          <w:iCs w:val="false"/>
          <w:sz w:val="20"/>
          <w:szCs w:val="20"/>
        </w:rPr>
        <w:t xml:space="preserve">For the TNC license, the document package is multi-part and interdependent: business formation certificate, proof of insurance (commercial TNC coverage), vehicle title or lease for each vehicle, and the application form itself. Each document contains fields that must align with the others. Applicants who do not understand this interdependency before they begin frequently discover gaps only after they have already submitted.</w:t>
      </w:r>
    </w:p>
    <w:p>
      <w:pPr>
        <w:spacing w:after="100"/>
      </w:pPr>
      <w:r>
        <w:t xml:space="preserve"/>
      </w:r>
    </w:p>
    <w:p>
      <w:pPr>
        <w:spacing w:after="80" w:before="160"/>
      </w:pPr>
      <w:r>
        <w:rPr>
          <w:rFonts w:ascii="Arial" w:cs="Arial" w:eastAsia="Arial" w:hAnsi="Arial"/>
          <w:b/>
          <w:bCs/>
          <w:sz w:val="22"/>
          <w:szCs w:val="22"/>
        </w:rPr>
        <w:t xml:space="preserve">4. Gathers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Applicant collects required documents based on their understanding of requirements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A set of documents the applicant believes is complete and compliant</w:t>
            </w:r>
          </w:p>
        </w:tc>
      </w:tr>
    </w:tbl>
    <w:p>
      <w:pPr>
        <w:spacing w:after="100"/>
      </w:pPr>
      <w:r>
        <w:t xml:space="preserve"/>
      </w:r>
    </w:p>
    <w:p>
      <w:pPr>
        <w:spacing w:after="80" w:before="160"/>
      </w:pPr>
      <w:r>
        <w:rPr>
          <w:rFonts w:ascii="Arial" w:cs="Arial" w:eastAsia="Arial" w:hAnsi="Arial"/>
          <w:b/>
          <w:bCs/>
          <w:sz w:val="22"/>
          <w:szCs w:val="22"/>
        </w:rPr>
        <w:t xml:space="preserve">5. Completes application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Applicant fills out the City of Austin application form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Completed form with all required fields populated</w:t>
            </w:r>
          </w:p>
        </w:tc>
      </w:tr>
    </w:tbl>
    <w:p>
      <w:pPr>
        <w:spacing w:after="100"/>
      </w:pPr>
      <w:r>
        <w:t xml:space="preserve"/>
      </w:r>
    </w:p>
    <w:p>
      <w:pPr>
        <w:spacing w:after="80" w:before="160"/>
      </w:pPr>
      <w:r>
        <w:rPr>
          <w:rFonts w:ascii="Arial" w:cs="Arial" w:eastAsia="Arial" w:hAnsi="Arial"/>
          <w:b/>
          <w:bCs/>
          <w:sz w:val="22"/>
          <w:szCs w:val="22"/>
        </w:rPr>
        <w:t xml:space="preserve">6. Self-checks package (if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Applicant reviews their own submission before paying and submitting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Confidence (accurate or not) that the package is ready to submit</w:t>
            </w:r>
          </w:p>
        </w:tc>
      </w:tr>
    </w:tbl>
    <w:p>
      <w:pPr>
        <w:spacing w:after="100"/>
      </w:pPr>
      <w:r>
        <w:t xml:space="preserve"/>
      </w:r>
    </w:p>
    <w:p>
      <w:pPr>
        <w:spacing w:after="60" w:before="100"/>
      </w:pPr>
      <w:r>
        <w:rPr>
          <w:rFonts w:ascii="Arial" w:cs="Arial" w:eastAsia="Arial" w:hAnsi="Arial"/>
          <w:b/>
          <w:bCs/>
          <w:i/>
          <w:iCs/>
          <w:color w:val="C00000"/>
          <w:sz w:val="20"/>
          <w:szCs w:val="20"/>
        </w:rPr>
        <w:t xml:space="preserve">Most applicants skip this step entirely or perform it superficially.</w:t>
      </w:r>
    </w:p>
    <w:p>
      <w:pPr>
        <w:spacing w:after="120"/>
      </w:pPr>
      <w:r>
        <w:rPr>
          <w:rFonts w:ascii="Arial" w:cs="Arial" w:eastAsia="Arial" w:hAnsi="Arial"/>
          <w:i w:val="false"/>
          <w:iCs w:val="false"/>
          <w:sz w:val="20"/>
          <w:szCs w:val="20"/>
        </w:rPr>
        <w:t xml:space="preserve">Without a structured self-check, applicants have no systematic way to catch the cross-document inconsistencies that most commonly cause deficiency notices: VIN mismatches between the application, title, and insurance certificate; business name variations across documents; insurance coverage that does not meet TNC commercial requirements.</w:t>
      </w:r>
    </w:p>
    <w:p>
      <w:pPr>
        <w:spacing w:after="100"/>
      </w:pPr>
      <w:r>
        <w:t xml:space="preserve"/>
      </w:r>
    </w:p>
    <w:p>
      <w:pPr>
        <w:spacing w:after="80" w:before="160"/>
      </w:pPr>
      <w:r>
        <w:rPr>
          <w:rFonts w:ascii="Arial" w:cs="Arial" w:eastAsia="Arial" w:hAnsi="Arial"/>
          <w:b/>
          <w:bCs/>
          <w:sz w:val="22"/>
          <w:szCs w:val="22"/>
        </w:rPr>
        <w:t xml:space="preserve">7. Submits application + pays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Ready-to-submit (or believed-ready) application package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Submitted application; fee paid; confirmation sent to applicant</w:t>
            </w:r>
          </w:p>
        </w:tc>
      </w:tr>
    </w:tbl>
    <w:p>
      <w:pPr>
        <w:spacing w:after="100"/>
      </w:pPr>
      <w:r>
        <w:t xml:space="preserve"/>
      </w:r>
    </w:p>
    <w:p>
      <w:pPr>
        <w:pStyle w:val="Heading1"/>
      </w:pPr>
      <w:r>
        <w:rPr>
          <w:rFonts w:ascii="Arial" w:cs="Arial" w:eastAsia="Arial" w:hAnsi="Arial"/>
          <w:b/>
          <w:bCs/>
          <w:sz w:val="28"/>
          <w:szCs w:val="28"/>
        </w:rPr>
        <w:t xml:space="preserve">Where Cognitive Labor Lives</w:t>
      </w:r>
    </w:p>
    <w:p>
      <w:pPr>
        <w:spacing w:after="120"/>
      </w:pPr>
      <w:r>
        <w:rPr>
          <w:rFonts w:ascii="Arial" w:cs="Arial" w:eastAsia="Arial" w:hAnsi="Arial"/>
          <w:i w:val="false"/>
          <w:iCs w:val="false"/>
          <w:sz w:val="20"/>
          <w:szCs w:val="20"/>
        </w:rPr>
        <w:t xml:space="preserve">Unlike the staff phase, where cognitive load concentrates in interpretive review, the cognitive burden in the applicant phase is primarily informational: applicants must understand a complex, multi-document requirement set and translate it into a correctly assembled package — without professional guidance and often without prior experience.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Cognitive labor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Understanding requirements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Interpreting a generic requirements list and mapping it to their specific situation (entity type, number of vehicles, ownership vs. lease)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Applies wrong requirements; misses situation-specific docs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Gathering documents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Sourcing the right document from the right issuing authority in the right format (e.g., commercial TNC insurance vs. standard auto)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Obtains wrong document type; missing coverage category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Cross-document consistency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Mentally holding VINs, business names, addresses, and coverage details across 4–5 documents and checking for alignment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Submits mismatched VINs, name variations, or wrong policy details without realizing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Self-check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Knowing what to look for, having a method to check, and having the confidence to catch their own errors before paying the fee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No structured self-check; submits with known or unknown gaps</w:t>
            </w:r>
          </w:p>
        </w:tc>
      </w:tr>
    </w:tbl>
    <w:p>
      <w:pPr>
        <w:spacing w:after="100"/>
      </w:pPr>
      <w:r>
        <w:t xml:space="preserve"/>
      </w:r>
    </w:p>
    <w:p>
      <w:pPr>
        <w:spacing w:after="120"/>
      </w:pPr>
      <w:r>
        <w:rPr>
          <w:rFonts w:ascii="Arial" w:cs="Arial" w:eastAsia="Arial" w:hAnsi="Arial"/>
          <w:i w:val="false"/>
          <w:iCs w:val="false"/>
          <w:sz w:val="20"/>
          <w:szCs w:val="20"/>
        </w:rPr>
        <w:t xml:space="preserve">The cross-document consistency step is the most consequential failure point. It requires the same pattern-matching across multiple documents that last week’s experiment demonstrated AI can perform on the staff side — suggesting a natural applicant-facing application of the same capability.</w:t>
      </w:r>
    </w:p>
    <w:p>
      <w:pPr>
        <w:spacing w:after="100"/>
      </w:pPr>
      <w:r>
        <w:t xml:space="preserve"/>
      </w:r>
    </w:p>
    <w:p>
      <w:pPr>
        <w:pStyle w:val="Heading1"/>
      </w:pPr>
      <w:r>
        <w:rPr>
          <w:rFonts w:ascii="Arial" w:cs="Arial" w:eastAsia="Arial" w:hAnsi="Arial"/>
          <w:b/>
          <w:bCs/>
          <w:sz w:val="28"/>
          <w:szCs w:val="28"/>
        </w:rPr>
        <w:t xml:space="preserve">TNC-Specific Document Failure Modes</w:t>
      </w:r>
    </w:p>
    <w:p>
      <w:pPr>
        <w:spacing w:after="120"/>
      </w:pPr>
      <w:r>
        <w:rPr>
          <w:rFonts w:ascii="Arial" w:cs="Arial" w:eastAsia="Arial" w:hAnsi="Arial"/>
          <w:i w:val="false"/>
          <w:iCs w:val="false"/>
          <w:sz w:val="20"/>
          <w:szCs w:val="20"/>
        </w:rPr>
        <w:t xml:space="preserve">The TNC operating authority application requires five documents that reference overlapping fields. These are the most common points of mismatch: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pair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at risk</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Common failure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Application ↔ Insurance cert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VIN, plate, coverage type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VIN typo on application; personal auto policy submitted instead of commercial TNC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Application ↔ Title / Lease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VIN, make/model/year, ownership type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VIN mismatch; vehicle listed as ‘owned’ when it is leased (or vice versa)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Application ↔ TX SOS cert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Business name, file number, address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Name variation (LLC abbreviation, middle initial); wrong file number entered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Insurance ↔ Title / Lease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VIN, plate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0"/>
                <w:szCs w:val="20"/>
              </w:rPr>
              <w:t xml:space="preserve">Insurance lists different VIN than title; coverage by plate only</w:t>
            </w:r>
          </w:p>
        </w:tc>
      </w:tr>
    </w:tbl>
    <w:p>
      <w:pPr>
        <w:spacing w:after="100"/>
      </w:pPr>
      <w:r>
        <w:t xml:space="preserve"/>
      </w:r>
    </w:p>
    <w:p>
      <w:pPr>
        <w:spacing w:after="120"/>
      </w:pPr>
      <w:r>
        <w:rPr>
          <w:rFonts w:ascii="Arial" w:cs="Arial" w:eastAsia="Arial" w:hAnsi="Arial"/>
          <w:i w:val="false"/>
          <w:iCs w:val="false"/>
          <w:sz w:val="20"/>
          <w:szCs w:val="20"/>
        </w:rPr>
        <w:t xml:space="preserve">Note: The Week 1 experiment planted three VIN discrepancies across these exact document pairs and the AI detected all three, including the Honda manufacturer prefix on a Toyota — demonstrating that the staff-side capability is already proven for these failure modes.</w:t>
      </w:r>
    </w:p>
    <w:p>
      <w:pPr>
        <w:spacing w:after="100"/>
      </w:pPr>
      <w:r>
        <w:t xml:space="preserve"/>
      </w:r>
    </w:p>
    <w:p>
      <w:pPr>
        <w:pStyle w:val="Heading1"/>
      </w:pPr>
      <w:r>
        <w:rPr>
          <w:rFonts w:ascii="Arial" w:cs="Arial" w:eastAsia="Arial" w:hAnsi="Arial"/>
          <w:b/>
          <w:bCs/>
          <w:sz w:val="28"/>
          <w:szCs w:val="28"/>
        </w:rPr>
        <w:t xml:space="preserve">AI Opportunities</w:t>
      </w:r>
    </w:p>
    <w:p>
      <w:pPr>
        <w:pStyle w:val="Heading2"/>
      </w:pPr>
      <w:r>
        <w:rPr>
          <w:rFonts w:ascii="Arial" w:cs="Arial" w:eastAsia="Arial" w:hAnsi="Arial"/>
          <w:b/>
          <w:bCs/>
          <w:sz w:val="22"/>
          <w:szCs w:val="22"/>
        </w:rPr>
        <w:t xml:space="preserve">Opportunity 1: Situation-Specific Requirements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00"/>
              <w:left w:type="dxa" w:w="160"/>
              <w:bottom w:type="dxa" w:w="100"/>
              <w:right w:type="dxa" w:w="160"/>
            </w:tcMar>
          </w:tcPr>
          <w:p>
            <w:pPr>
              <w:spacing w:after="80"/>
            </w:pPr>
            <w:r>
              <w:rPr>
                <w:rFonts w:ascii="Arial" w:cs="Arial" w:eastAsia="Arial" w:hAnsi="Arial"/>
                <w:b/>
                <w:bCs/>
                <w:sz w:val="20"/>
                <w:szCs w:val="20"/>
              </w:rPr>
              <w:t xml:space="preserve">Pre-start guidance — personalized document checklist</w:t>
            </w:r>
          </w:p>
          <w:p>
            <w:pPr>
              <w:spacing w:after="80"/>
            </w:pPr>
            <w:r>
              <w:rPr>
                <w:rFonts w:ascii="Arial" w:cs="Arial" w:eastAsia="Arial" w:hAnsi="Arial"/>
                <w:sz w:val="20"/>
                <w:szCs w:val="20"/>
              </w:rPr>
              <w:t xml:space="preserve">Before the applicant begins, AI asks scoping questions (number of vehicles, owned vs. leased, sole proprietor vs. LLC, active insurance status) and generates a checklist calibrated to their specific situation. A sole proprietor with two leased vehicles needs different documents than an LLC with three owned vehicles. Generic requirement lists do not make this distinction.</w:t>
            </w:r>
          </w:p>
          <w:p>
            <w:r>
              <w:rPr>
                <w:rFonts w:ascii="Arial" w:cs="Arial" w:eastAsia="Arial" w:hAnsi="Arial"/>
                <w:b/>
                <w:bCs/>
                <w:i/>
                <w:iCs/>
                <w:sz w:val="19"/>
                <w:szCs w:val="19"/>
              </w:rPr>
              <w:t xml:space="preserve">Non-AI alternative: </w:t>
            </w:r>
            <w:r>
              <w:rPr>
                <w:rFonts w:ascii="Arial" w:cs="Arial" w:eastAsia="Arial" w:hAnsi="Arial"/>
                <w:i/>
                <w:iCs/>
                <w:sz w:val="19"/>
                <w:szCs w:val="19"/>
              </w:rPr>
              <w:t xml:space="preserve">Conditional logic / branching intake questionnaire. Appropriate when the requirement space is finite and well-defined. More auditable and predictable than AI. Maintenance burden grows as vehicle configurations and business structures vary.</w:t>
            </w:r>
          </w:p>
        </w:tc>
      </w:tr>
    </w:tbl>
    <w:p>
      <w:pPr>
        <w:spacing w:after="100"/>
      </w:pPr>
      <w:r>
        <w:t xml:space="preserve"/>
      </w:r>
    </w:p>
    <w:p>
      <w:pPr>
        <w:pStyle w:val="Heading2"/>
      </w:pPr>
      <w:r>
        <w:rPr>
          <w:rFonts w:ascii="Arial" w:cs="Arial" w:eastAsia="Arial" w:hAnsi="Arial"/>
          <w:b/>
          <w:bCs/>
          <w:sz w:val="22"/>
          <w:szCs w:val="22"/>
        </w:rPr>
        <w:t xml:space="preserve">Opportunity 2: In-Progress Consistency Flagging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00"/>
              <w:left w:type="dxa" w:w="160"/>
              <w:bottom w:type="dxa" w:w="100"/>
              <w:right w:type="dxa" w:w="160"/>
            </w:tcMar>
          </w:tcPr>
          <w:p>
            <w:pPr>
              <w:spacing w:after="80"/>
            </w:pPr>
            <w:r>
              <w:rPr>
                <w:rFonts w:ascii="Arial" w:cs="Arial" w:eastAsia="Arial" w:hAnsi="Arial"/>
                <w:b/>
                <w:bCs/>
                <w:sz w:val="20"/>
                <w:szCs w:val="20"/>
              </w:rPr>
              <w:t xml:space="preserve">Real-time field-level checking as the applicant completes the form</w:t>
            </w:r>
          </w:p>
          <w:p>
            <w:pPr>
              <w:spacing w:after="0"/>
            </w:pPr>
            <w:r>
              <w:rPr>
                <w:rFonts w:ascii="Arial" w:cs="Arial" w:eastAsia="Arial" w:hAnsi="Arial"/>
                <w:sz w:val="20"/>
                <w:szCs w:val="20"/>
              </w:rPr>
              <w:t xml:space="preserve">As the applicant populates the application form, flag potential issues before they become deficiency notices: VIN format validation (including manufacturer prefix check), business name consistency against TX SOS number if entered, ownership type consistency with document type selected. Catches the easiest errors at the lowest cost — before submission.</w:t>
            </w:r>
          </w:p>
        </w:tc>
      </w:tr>
    </w:tbl>
    <w:p>
      <w:pPr>
        <w:spacing w:after="100"/>
      </w:pPr>
      <w:r>
        <w:t xml:space="preserve"/>
      </w:r>
    </w:p>
    <w:p>
      <w:pPr>
        <w:pStyle w:val="Heading2"/>
      </w:pPr>
      <w:r>
        <w:rPr>
          <w:rFonts w:ascii="Arial" w:cs="Arial" w:eastAsia="Arial" w:hAnsi="Arial"/>
          <w:b/>
          <w:bCs/>
          <w:sz w:val="22"/>
          <w:szCs w:val="22"/>
        </w:rPr>
        <w:t xml:space="preserve">Opportunity 3: Pre-Submission Package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00"/>
              <w:left w:type="dxa" w:w="160"/>
              <w:bottom w:type="dxa" w:w="100"/>
              <w:right w:type="dxa" w:w="160"/>
            </w:tcMar>
          </w:tcPr>
          <w:p>
            <w:pPr>
              <w:spacing w:after="80"/>
            </w:pPr>
            <w:r>
              <w:rPr>
                <w:rFonts w:ascii="Arial" w:cs="Arial" w:eastAsia="Arial" w:hAnsi="Arial"/>
                <w:b/>
                <w:bCs/>
                <w:sz w:val="20"/>
                <w:szCs w:val="20"/>
              </w:rPr>
              <w:t xml:space="preserve">Full cross-document consistency check before the applicant pays and submits</w:t>
            </w:r>
          </w:p>
          <w:p>
            <w:pPr>
              <w:spacing w:after="80"/>
            </w:pPr>
            <w:r>
              <w:rPr>
                <w:rFonts w:ascii="Arial" w:cs="Arial" w:eastAsia="Arial" w:hAnsi="Arial"/>
                <w:sz w:val="20"/>
                <w:szCs w:val="20"/>
              </w:rPr>
              <w:t xml:space="preserve">Once all documents are uploaded, AI runs the same cross-document consistency check demonstrated in last week’s experiment — but facing the applicant, not the reviewer. Surfaces VIN mismatches, name variations, coverage type issues, and missing fields with enough specificity for the applicant to correct them before submission. This is the highest-value intervention: it shifts error detection from the staff review queue back to the applicant, before the fee is paid and the clock starts.</w:t>
            </w:r>
          </w:p>
          <w:p>
            <w:r>
              <w:rPr>
                <w:rFonts w:ascii="Arial" w:cs="Arial" w:eastAsia="Arial" w:hAnsi="Arial"/>
                <w:b/>
                <w:bCs/>
                <w:i/>
                <w:iCs/>
                <w:sz w:val="19"/>
                <w:szCs w:val="19"/>
              </w:rPr>
              <w:t xml:space="preserve">Critical framing: </w:t>
            </w:r>
            <w:r>
              <w:rPr>
                <w:rFonts w:ascii="Arial" w:cs="Arial" w:eastAsia="Arial" w:hAnsi="Arial"/>
                <w:i/>
                <w:iCs/>
                <w:sz w:val="19"/>
                <w:szCs w:val="19"/>
              </w:rPr>
              <w:t xml:space="preserve">This check flags potential issues — it does not certify compliance. Applicants must understand the AI is helping them find problems, not clearing them for approval. False confidence from a pre-check that misses something is worse than no pre-check.</w:t>
            </w:r>
          </w:p>
        </w:tc>
      </w:tr>
    </w:tbl>
    <w:p>
      <w:pPr>
        <w:spacing w:after="100"/>
      </w:pPr>
      <w:r>
        <w:t xml:space="preserve"/>
      </w:r>
    </w:p>
    <w:p>
      <w:pPr>
        <w:pStyle w:val="Heading1"/>
      </w:pPr>
      <w:r>
        <w:rPr>
          <w:rFonts w:ascii="Arial" w:cs="Arial" w:eastAsia="Arial" w:hAnsi="Arial"/>
          <w:b/>
          <w:bCs/>
          <w:sz w:val="28"/>
          <w:szCs w:val="28"/>
        </w:rPr>
        <w:t xml:space="preserve">Where Humans Must Stay Central</w:t>
      </w:r>
    </w:p>
    <w:p>
      <w:pPr>
        <w:pStyle w:val="ListParagraph"/>
        <w:numPr>
          <w:ilvl w:val="0"/>
          <w:numId w:val="2"/>
        </w:numPr>
        <w:spacing w:after="80"/>
      </w:pPr>
      <w:r>
        <w:rPr>
          <w:rFonts w:ascii="Arial" w:cs="Arial" w:eastAsia="Arial" w:hAnsi="Arial"/>
          <w:b/>
          <w:bCs/>
          <w:sz w:val="20"/>
          <w:szCs w:val="20"/>
        </w:rPr>
        <w:t xml:space="preserve">Eligibility determinations: </w:t>
      </w:r>
      <w:r>
        <w:rPr>
          <w:rFonts w:ascii="Arial" w:cs="Arial" w:eastAsia="Arial" w:hAnsi="Arial"/>
          <w:sz w:val="20"/>
          <w:szCs w:val="20"/>
        </w:rPr>
        <w:t xml:space="preserve">Whether a specific applicant or vehicle configuration actually qualifies under city code is a judgment call that requires human review. AI can surface relevant requirements; it cannot make the eligibility call.</w:t>
      </w:r>
    </w:p>
    <w:p>
      <w:pPr>
        <w:pStyle w:val="ListParagraph"/>
        <w:numPr>
          <w:ilvl w:val="0"/>
          <w:numId w:val="2"/>
        </w:numPr>
        <w:spacing w:after="80"/>
      </w:pPr>
      <w:r>
        <w:rPr>
          <w:rFonts w:ascii="Arial" w:cs="Arial" w:eastAsia="Arial" w:hAnsi="Arial"/>
          <w:b/>
          <w:bCs/>
          <w:sz w:val="20"/>
          <w:szCs w:val="20"/>
        </w:rPr>
        <w:t xml:space="preserve">Insurance compliance verification: </w:t>
      </w:r>
      <w:r>
        <w:rPr>
          <w:rFonts w:ascii="Arial" w:cs="Arial" w:eastAsia="Arial" w:hAnsi="Arial"/>
          <w:sz w:val="20"/>
          <w:szCs w:val="20"/>
        </w:rPr>
        <w:t xml:space="preserve">Confirming that a submitted insurance certificate actually meets coverage requirements — not just that fields match — requires human judgment, particularly for edge cases or non-standard policies.</w:t>
      </w:r>
    </w:p>
    <w:p>
      <w:pPr>
        <w:pStyle w:val="ListParagraph"/>
        <w:numPr>
          <w:ilvl w:val="0"/>
          <w:numId w:val="2"/>
        </w:numPr>
        <w:spacing w:after="80"/>
      </w:pPr>
      <w:r>
        <w:rPr>
          <w:rFonts w:ascii="Arial" w:cs="Arial" w:eastAsia="Arial" w:hAnsi="Arial"/>
          <w:b/>
          <w:bCs/>
          <w:sz w:val="20"/>
          <w:szCs w:val="20"/>
        </w:rPr>
        <w:t xml:space="preserve">Applicant communication on denials or complex deficiencies: </w:t>
      </w:r>
      <w:r>
        <w:rPr>
          <w:rFonts w:ascii="Arial" w:cs="Arial" w:eastAsia="Arial" w:hAnsi="Arial"/>
          <w:sz w:val="20"/>
          <w:szCs w:val="20"/>
        </w:rPr>
        <w:t xml:space="preserve">When an application has substantive problems (not just field errors), the communication back to the applicant requires human judgment about tone, specificity, and procedural fairness.</w:t>
      </w:r>
    </w:p>
    <w:p>
      <w:pPr>
        <w:pStyle w:val="ListParagraph"/>
        <w:numPr>
          <w:ilvl w:val="0"/>
          <w:numId w:val="2"/>
        </w:numPr>
        <w:spacing w:after="80"/>
      </w:pPr>
      <w:r>
        <w:rPr>
          <w:rFonts w:ascii="Arial" w:cs="Arial" w:eastAsia="Arial" w:hAnsi="Arial"/>
          <w:b/>
          <w:bCs/>
          <w:sz w:val="20"/>
          <w:szCs w:val="20"/>
        </w:rPr>
        <w:t xml:space="preserve">Any situation the pre-check flags as unresolvable: </w:t>
      </w:r>
      <w:r>
        <w:rPr>
          <w:rFonts w:ascii="Arial" w:cs="Arial" w:eastAsia="Arial" w:hAnsi="Arial"/>
          <w:sz w:val="20"/>
          <w:szCs w:val="20"/>
        </w:rPr>
        <w:t xml:space="preserve">If AI identifies a discrepancy it cannot interpret — or an applicant disputes a flag — that goes to staff, not to another AI pass.</w:t>
      </w:r>
    </w:p>
    <w:p>
      <w:pPr>
        <w:spacing w:after="100"/>
      </w:pPr>
      <w:r>
        <w:t xml:space="preserve"/>
      </w:r>
    </w:p>
    <w:p>
      <w:pPr>
        <w:pStyle w:val="Heading1"/>
      </w:pPr>
      <w:r>
        <w:rPr>
          <w:rFonts w:ascii="Arial" w:cs="Arial" w:eastAsia="Arial" w:hAnsi="Arial"/>
          <w:b/>
          <w:bCs/>
          <w:sz w:val="28"/>
          <w:szCs w:val="28"/>
        </w:rPr>
        <w:t xml:space="preserve">Open Questions and Tensions</w:t>
      </w:r>
    </w:p>
    <w:p>
      <w:pPr>
        <w:spacing w:after="60" w:before="100"/>
      </w:pPr>
      <w:r>
        <w:rPr>
          <w:rFonts w:ascii="Arial" w:cs="Arial" w:eastAsia="Arial" w:hAnsi="Arial"/>
          <w:b/>
          <w:bCs/>
          <w:sz w:val="20"/>
          <w:szCs w:val="20"/>
        </w:rPr>
        <w:t xml:space="preserve">The pre-check confidence problem</w:t>
      </w:r>
    </w:p>
    <w:p>
      <w:pPr>
        <w:spacing w:after="120"/>
      </w:pPr>
      <w:r>
        <w:rPr>
          <w:rFonts w:ascii="Arial" w:cs="Arial" w:eastAsia="Arial" w:hAnsi="Arial"/>
          <w:i w:val="false"/>
          <w:iCs w:val="false"/>
          <w:sz w:val="20"/>
          <w:szCs w:val="20"/>
        </w:rPr>
        <w:t xml:space="preserve">A pre-submission AI check that returns a clean result creates an expectation of readiness. If the check misses something — because of an OCR error on a scanned document, an edge case in the policy, or a subtler inconsistency — the applicant may submit with false confidence and be surprised by a deficiency notice. Framing and disclaimers matter, but they only go so far. The check needs to be good enough that a clean result is genuinely meaningful, or it should not be offered.</w:t>
      </w:r>
    </w:p>
    <w:p>
      <w:pPr>
        <w:spacing w:after="100"/>
      </w:pPr>
      <w:r>
        <w:t xml:space="preserve"/>
      </w:r>
    </w:p>
    <w:p>
      <w:pPr>
        <w:spacing w:after="60" w:before="100"/>
      </w:pPr>
      <w:r>
        <w:rPr>
          <w:rFonts w:ascii="Arial" w:cs="Arial" w:eastAsia="Arial" w:hAnsi="Arial"/>
          <w:b/>
          <w:bCs/>
          <w:sz w:val="20"/>
          <w:szCs w:val="20"/>
        </w:rPr>
        <w:t xml:space="preserve">Equity and the document-gathering burden</w:t>
      </w:r>
    </w:p>
    <w:p>
      <w:pPr>
        <w:spacing w:after="120"/>
      </w:pPr>
      <w:r>
        <w:rPr>
          <w:rFonts w:ascii="Arial" w:cs="Arial" w:eastAsia="Arial" w:hAnsi="Arial"/>
          <w:i w:val="false"/>
          <w:iCs w:val="false"/>
          <w:sz w:val="20"/>
          <w:szCs w:val="20"/>
        </w:rPr>
        <w:t xml:space="preserve">Better upfront guidance helps applicants who have the time and literacy to use it. Applicants who face language barriers, limited digital access, or unfamiliarity with government document requirements may not benefit equally from a self-service AI tool. If the pre-check reduces deficiency rates overall but the remaining deficiency notices concentrate among less-resourced applicants, that is an equity outcome worth measuring.</w:t>
      </w:r>
    </w:p>
    <w:p>
      <w:pPr>
        <w:spacing w:after="100"/>
      </w:pPr>
      <w:r>
        <w:t xml:space="preserve"/>
      </w:r>
    </w:p>
    <w:p>
      <w:pPr>
        <w:spacing w:after="60" w:before="100"/>
      </w:pPr>
      <w:r>
        <w:rPr>
          <w:rFonts w:ascii="Arial" w:cs="Arial" w:eastAsia="Arial" w:hAnsi="Arial"/>
          <w:b/>
          <w:bCs/>
          <w:sz w:val="20"/>
          <w:szCs w:val="20"/>
        </w:rPr>
        <w:t xml:space="preserve">Connection to RAG (Week 2 research topic)</w:t>
      </w:r>
    </w:p>
    <w:p>
      <w:pPr>
        <w:spacing w:after="120"/>
      </w:pPr>
      <w:r>
        <w:rPr>
          <w:rFonts w:ascii="Arial" w:cs="Arial" w:eastAsia="Arial" w:hAnsi="Arial"/>
          <w:i w:val="false"/>
          <w:iCs w:val="false"/>
          <w:sz w:val="20"/>
          <w:szCs w:val="20"/>
        </w:rPr>
        <w:t xml:space="preserve">Opportunities 1 and 3 both benefit from RAG: the pre-start guidance is only as good as its grounding in current policy requirements, and the pre-submission check could eventually extend beyond internal consistency to policy compliance. A RAG layer over the municipal code and transportation department requirements would make both tools meaningfully more powerful — and is the natural architecture for the Week 2 retrieval experiment.</w:t>
      </w:r>
    </w:p>
    <w:p>
      <w:pPr>
        <w:spacing w:after="100"/>
      </w:pPr>
      <w:r>
        <w:t xml:space="preserve"/>
      </w:r>
    </w:p>
    <w:p>
      <w:pPr>
        <w:pBdr>
          <w:top w:val="single" w:color="CCCCCC" w:sz="2" w:space="1"/>
        </w:pBdr>
        <w:spacing w:before="200"/>
      </w:pPr>
      <w:r>
        <w:rPr>
          <w:rFonts w:ascii="Arial" w:cs="Arial" w:eastAsia="Arial" w:hAnsi="Arial"/>
          <w:i/>
          <w:iCs/>
          <w:color w:val="888888"/>
          <w:sz w:val="18"/>
          <w:szCs w:val="18"/>
        </w:rPr>
        <w:t xml:space="preserve">Week 2 workflow analysis — Civic AI 30-Day Research &amp; Practice System. Living notes, updated as thinking evolves.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2026-06-02T11:57:42.464Z</dcterms:created>
  <dcterms:modified xsi:type="dcterms:W3CDTF">2026-06-02T11:57:42.482Z</dcterms:modified>
</cp:coreProperties>
</file>

<file path=docProps/custom.xml><?xml version="1.0" encoding="utf-8"?>
<Properties xmlns="http://schemas.openxmlformats.org/officeDocument/2006/custom-properties" xmlns:vt="http://schemas.openxmlformats.org/officeDocument/2006/docPropsVTypes"/>
</file>