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CIVIC AI EXPERIMENT NOTES</w:t>
      </w:r>
    </w:p>
    <w:p>
      <w:pPr>
        <w:spacing w:after="60"/>
      </w:pPr>
      <w:r>
        <w:rPr>
          <w:rFonts w:ascii="Arial" w:cs="Arial" w:eastAsia="Arial" w:hAnsi="Arial"/>
          <w:color w:val="666666"/>
          <w:sz w:val="20"/>
          <w:szCs w:val="20"/>
        </w:rPr>
        <w:t xml:space="preserve">Week 2, Wednesday — June 4, 2026</w:t>
      </w:r>
    </w:p>
    <w:p>
      <w:pPr>
        <w:pBdr>
          <w:bottom w:val="single" w:color="2E5496" w:sz="6" w:space="1"/>
        </w:pBdr>
        <w:spacing w:after="60"/>
      </w:pPr>
      <w:r>
        <w:rPr>
          <w:rFonts w:ascii="Arial" w:cs="Arial" w:eastAsia="Arial" w:hAnsi="Arial"/>
          <w:b/>
          <w:bCs/>
          <w:sz w:val="24"/>
          <w:szCs w:val="24"/>
        </w:rPr>
        <w:t xml:space="preserve">Experiment: RAG Policy Compliance Check</w:t>
      </w:r>
    </w:p>
    <w:p>
      <w:pPr>
        <w:spacing w:after="200"/>
      </w:pPr>
      <w:r>
        <w:rPr>
          <w:rFonts w:ascii="Arial" w:cs="Arial" w:eastAsia="Arial" w:hAnsi="Arial"/>
          <w:i/>
          <w:iCs/>
          <w:color w:val="555555"/>
          <w:sz w:val="20"/>
          <w:szCs w:val="20"/>
        </w:rPr>
        <w:t xml:space="preserve">Checking a TNC application against policy requirements — not just internal document consistency</w:t>
      </w:r>
    </w:p>
    <w:p>
      <w:pPr>
        <w:pStyle w:val="Heading1"/>
      </w:pPr>
      <w:r>
        <w:rPr>
          <w:rFonts w:ascii="Arial" w:cs="Arial" w:eastAsia="Arial" w:hAnsi="Arial"/>
          <w:b/>
          <w:bCs/>
          <w:sz w:val="26"/>
          <w:szCs w:val="26"/>
        </w:rPr>
        <w:t xml:space="preserve">Experiment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Capability tested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AI policy compliance checking — extending cross-document consistency checking to include policy requirements as a third reference 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Core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Can AI check an application against policy requirements, not just internal document consistency?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Scenario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TNC operating authority license — City of Austin Transportation Department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Applicant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Carlos R. Mendez / Rio Star Transportation LLC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Policy document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Fictional Policy AP-TNC-2024-01 — covers business entity requirements (Section 2), insurance requirements (Section 3), and vehicle eligibility (Section 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Test packages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Package A: fully compliant application. Package B: two planted compliance gaps — insurance below minimum (Section 3.2) and vehicle age exceeding limit (Section 4.1)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Runs conducted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Three total — Package A (one run), Package B (two runs: once with researcher reference table included, once without)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0"/>
                <w:szCs w:val="20"/>
              </w:rPr>
              <w:t xml:space="preserve">Output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Structured compliance review: four-column findings table per requirement area (Requirement | Policy Ref | Finding | Details), plus Identified Issues and Reviewer Notes sections</w:t>
            </w:r>
          </w:p>
        </w:tc>
      </w:tr>
    </w:tbl>
    <w:p>
      <w:pPr>
        <w:spacing w:after="80"/>
      </w:pPr>
      <w:r>
        <w:t xml:space="preserve"/>
      </w:r>
    </w:p>
    <w:p>
      <w:pPr>
        <w:pStyle w:val="Heading1"/>
      </w:pPr>
      <w:r>
        <w:rPr>
          <w:rFonts w:ascii="Arial" w:cs="Arial" w:eastAsia="Arial" w:hAnsi="Arial"/>
          <w:b/>
          <w:bCs/>
          <w:sz w:val="26"/>
          <w:szCs w:val="26"/>
        </w:rPr>
        <w:t xml:space="preserve">Methodology Note: Two-Run Design</w:t>
      </w:r>
    </w:p>
    <w:p>
      <w:pPr>
        <w:spacing w:after="100"/>
      </w:pPr>
      <w:r>
        <w:rPr>
          <w:rFonts w:ascii="Arial" w:cs="Arial" w:eastAsia="Arial" w:hAnsi="Arial"/>
          <w:b w:val="false"/>
          <w:bCs w:val="false"/>
          <w:i w:val="false"/>
          <w:iCs w:val="false"/>
          <w:sz w:val="20"/>
          <w:szCs w:val="20"/>
        </w:rPr>
        <w:t xml:space="preserve">Package B was run twice deliberately. The first run included a researcher reference table at the end of the document describing the planted gaps. The second run used a clean version of the document with that table removed.</w:t>
      </w:r>
    </w:p>
    <w:p>
      <w:pPr>
        <w:spacing w:after="100"/>
      </w:pPr>
      <w:r>
        <w:rPr>
          <w:rFonts w:ascii="Arial" w:cs="Arial" w:eastAsia="Arial" w:hAnsi="Arial"/>
          <w:b w:val="false"/>
          <w:bCs w:val="false"/>
          <w:i w:val="false"/>
          <w:iCs w:val="false"/>
          <w:sz w:val="20"/>
          <w:szCs w:val="20"/>
        </w:rPr>
        <w:t xml:space="preserve">The AI detected both compliance gaps in both runs. However, the output calibration was noticeably better in the clean run — the structured four-column findings table was more consistent and the findings were more precisely grounded in the policy document. This suggests that extraneous context in the submitted documents can affect output quality even when it does not affect detection accuracy.</w:t>
      </w:r>
    </w:p>
    <w:p>
      <w:pPr>
        <w:spacing w:after="100"/>
      </w:pPr>
      <w:r>
        <w:rPr>
          <w:rFonts w:ascii="Arial" w:cs="Arial" w:eastAsia="Arial" w:hAnsi="Arial"/>
          <w:b w:val="false"/>
          <w:bCs w:val="false"/>
          <w:i/>
          <w:iCs/>
          <w:sz w:val="20"/>
          <w:szCs w:val="20"/>
        </w:rPr>
        <w:t xml:space="preserve">The clean run is treated as the primary result. It is also the more methodologically sound version: detection driven entirely by policy reasoning, with no possible exposure to gap descriptions.</w:t>
      </w:r>
    </w:p>
    <w:p>
      <w:pPr>
        <w:spacing w:after="80"/>
      </w:pPr>
      <w:r>
        <w:t xml:space="preserve"/>
      </w:r>
    </w:p>
    <w:p>
      <w:pPr>
        <w:pStyle w:val="Heading1"/>
      </w:pPr>
      <w:r>
        <w:rPr>
          <w:rFonts w:ascii="Arial" w:cs="Arial" w:eastAsia="Arial" w:hAnsi="Arial"/>
          <w:b/>
          <w:bCs/>
          <w:sz w:val="26"/>
          <w:szCs w:val="26"/>
        </w:rPr>
        <w:t xml:space="preserve">Run 1 — Package A (Compliant)</w:t>
      </w:r>
    </w:p>
    <w:p>
      <w:pPr>
        <w:pStyle w:val="Heading2"/>
      </w:pPr>
      <w:r>
        <w:rPr>
          <w:rFonts w:ascii="Arial" w:cs="Arial" w:eastAsia="Arial" w:hAnsi="Arial"/>
          <w:b/>
          <w:bCs/>
          <w:sz w:val="22"/>
          <w:szCs w:val="22"/>
        </w:rPr>
        <w:t xml:space="preserve">What the AI produced</w:t>
      </w:r>
    </w:p>
    <w:p>
      <w:pPr>
        <w:spacing w:after="100"/>
      </w:pPr>
      <w:r>
        <w:rPr>
          <w:rFonts w:ascii="Arial" w:cs="Arial" w:eastAsia="Arial" w:hAnsi="Arial"/>
          <w:b w:val="false"/>
          <w:bCs w:val="false"/>
          <w:i w:val="false"/>
          <w:iCs w:val="false"/>
          <w:sz w:val="20"/>
          <w:szCs w:val="20"/>
        </w:rPr>
        <w:t xml:space="preserve">The AI returned a clean compliance result across all three requirement areas. The four-column findings table was populated accurately for each requirement: business entity, insurance, and vehicle eligibility for both vehicles.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80"/>
        <w:gridCol w:w="28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area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Policy ref</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Business entity — LLC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2.2</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Domestic LLC confirmed via TX SOS certificate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TX SOS file number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2.3</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File # 0803412291 matches application and SOS cert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Registered agent — Travis County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2.4</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Registered office at 4402 Burnet Rd, Travis County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Insurance liability minimum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3.2</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$1,500,000 per occurrence — meets $1,500,000 minimum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Coverage type — commercial TNC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3.3</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Commercial Transportation — TNC 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Vehicle 1 — age eligibility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4.1</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2019 Toyota Camry — 7 model years old in 2026, within 8-year limit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Vehicle 1 — 4-door requirement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4.2</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Toyota Camry confirmed as 4-door sedan based on general vehicle 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Vehicle 2 — age eligibility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4.1</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2021 Honda Odyssey — 5 model years old in 2026, within 8-year limit</w:t>
            </w:r>
          </w:p>
        </w:tc>
      </w:tr>
    </w:tbl>
    <w:p>
      <w:pPr>
        <w:spacing w:after="80"/>
      </w:pPr>
      <w:r>
        <w:t xml:space="preserve"/>
      </w:r>
    </w:p>
    <w:p>
      <w:pPr>
        <w:spacing w:after="100"/>
      </w:pPr>
      <w:r>
        <w:rPr>
          <w:rFonts w:ascii="Arial" w:cs="Arial" w:eastAsia="Arial" w:hAnsi="Arial"/>
          <w:b w:val="false"/>
          <w:bCs w:val="false"/>
          <w:i w:val="false"/>
          <w:iCs w:val="false"/>
          <w:sz w:val="20"/>
          <w:szCs w:val="20"/>
        </w:rPr>
        <w:t xml:space="preserve">No false positives. Reviewer Notes included appropriate gray areas for human follow-up: driver license not verified against an external system, and insurance expiry relative to license term duration.</w:t>
      </w:r>
    </w:p>
    <w:p>
      <w:pPr>
        <w:spacing w:after="80"/>
      </w:pPr>
      <w:r>
        <w:t xml:space="preserve"/>
      </w:r>
    </w:p>
    <w:p>
      <w:pPr>
        <w:pStyle w:val="Heading1"/>
      </w:pPr>
      <w:r>
        <w:rPr>
          <w:rFonts w:ascii="Arial" w:cs="Arial" w:eastAsia="Arial" w:hAnsi="Arial"/>
          <w:b/>
          <w:bCs/>
          <w:sz w:val="26"/>
          <w:szCs w:val="26"/>
        </w:rPr>
        <w:t xml:space="preserve">Run 2 — Package B (Non-Compliant, Clean Version)</w:t>
      </w:r>
    </w:p>
    <w:p>
      <w:pPr>
        <w:pStyle w:val="Heading2"/>
      </w:pPr>
      <w:r>
        <w:rPr>
          <w:rFonts w:ascii="Arial" w:cs="Arial" w:eastAsia="Arial" w:hAnsi="Arial"/>
          <w:b/>
          <w:bCs/>
          <w:sz w:val="22"/>
          <w:szCs w:val="22"/>
        </w:rPr>
        <w:t xml:space="preserve">What the AI produced</w:t>
      </w:r>
    </w:p>
    <w:p>
      <w:pPr>
        <w:spacing w:after="100"/>
      </w:pPr>
      <w:r>
        <w:rPr>
          <w:rFonts w:ascii="Arial" w:cs="Arial" w:eastAsia="Arial" w:hAnsi="Arial"/>
          <w:b w:val="false"/>
          <w:bCs w:val="false"/>
          <w:i w:val="false"/>
          <w:iCs w:val="false"/>
          <w:sz w:val="20"/>
          <w:szCs w:val="20"/>
        </w:rPr>
        <w:t xml:space="preserve">Both planted compliance gaps were detected. The four-column findings table surfaced each gap with the exact values from the documents and the specific policy section violated.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80"/>
        <w:gridCol w:w="28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area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Policy ref</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Business entity — LLC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2.2</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Domestic LLC confirmed via TX SOS certificate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Insurance liability minimum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3.2</w:t>
            </w:r>
          </w:p>
        </w:tc>
        <w:tc>
          <w:tcPr>
            <w:tcW w:type="dxa" w:w="2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Non-Compliant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$1,000,000 per occurrence found — $500,000 below $1,500,000 minimum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Vehicle 1 — age eligibility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4.1</w:t>
            </w:r>
          </w:p>
        </w:tc>
        <w:tc>
          <w:tcPr>
            <w:tcW w:type="dxa" w:w="2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Non-Compliant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2016 Toyota Camry — 10 model years old in 2026, exceeds 8-year limit by 2 years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Vehicle 2 — age eligibility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Section 4.1</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Compliant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2021 Honda Odyssey — 5 model years old in 2026, within 8-year limit</w:t>
            </w:r>
          </w:p>
        </w:tc>
      </w:tr>
    </w:tbl>
    <w:p>
      <w:pPr>
        <w:spacing w:after="80"/>
      </w:pPr>
      <w:r>
        <w:t xml:space="preserve"/>
      </w:r>
    </w:p>
    <w:p>
      <w:pPr>
        <w:spacing w:after="100"/>
      </w:pPr>
      <w:r>
        <w:rPr>
          <w:rFonts w:ascii="Arial" w:cs="Arial" w:eastAsia="Arial" w:hAnsi="Arial"/>
          <w:b w:val="false"/>
          <w:bCs w:val="false"/>
          <w:i w:val="false"/>
          <w:iCs w:val="false"/>
          <w:sz w:val="20"/>
          <w:szCs w:val="20"/>
        </w:rPr>
        <w:t xml:space="preserve">Vehicle 2 returned clean across all checks — no false positives on the compliant vehicle. The Identified Issues section reproduced both non-compliant findings with policy section citations and exact document values.</w:t>
      </w:r>
    </w:p>
    <w:p>
      <w:pPr>
        <w:spacing w:after="80"/>
      </w:pPr>
      <w:r>
        <w:t xml:space="preserve"/>
      </w:r>
    </w:p>
    <w:p>
      <w:pPr>
        <w:pStyle w:val="Heading1"/>
      </w:pPr>
      <w:r>
        <w:rPr>
          <w:rFonts w:ascii="Arial" w:cs="Arial" w:eastAsia="Arial" w:hAnsi="Arial"/>
          <w:b/>
          <w:bCs/>
          <w:sz w:val="26"/>
          <w:szCs w:val="26"/>
        </w:rPr>
        <w:t xml:space="preserve">Evaluation</w:t>
      </w:r>
    </w:p>
    <w:p>
      <w:pPr>
        <w:pStyle w:val="Heading2"/>
      </w:pPr>
      <w:r>
        <w:rPr>
          <w:rFonts w:ascii="Arial" w:cs="Arial" w:eastAsia="Arial" w:hAnsi="Arial"/>
          <w:b/>
          <w:bCs/>
          <w:sz w:val="22"/>
          <w:szCs w:val="22"/>
        </w:rPr>
        <w:t xml:space="preserve">What worked</w:t>
      </w:r>
    </w:p>
    <w:p>
      <w:pPr>
        <w:pStyle w:val="ListParagraph"/>
        <w:numPr>
          <w:ilvl w:val="0"/>
          <w:numId w:val="2"/>
        </w:numPr>
        <w:spacing w:after="80"/>
      </w:pPr>
      <w:r>
        <w:rPr>
          <w:rFonts w:ascii="Arial" w:cs="Arial" w:eastAsia="Arial" w:hAnsi="Arial"/>
          <w:sz w:val="20"/>
          <w:szCs w:val="20"/>
        </w:rPr>
        <w:t xml:space="preserve">Both compliance gaps were detected accurately in both Package B runs — detection held up whether or not the researcher reference table was present</w:t>
      </w:r>
    </w:p>
    <w:p>
      <w:pPr>
        <w:pStyle w:val="ListParagraph"/>
        <w:numPr>
          <w:ilvl w:val="0"/>
          <w:numId w:val="2"/>
        </w:numPr>
        <w:spacing w:after="80"/>
      </w:pPr>
      <w:r>
        <w:rPr>
          <w:rFonts w:ascii="Arial" w:cs="Arial" w:eastAsia="Arial" w:hAnsi="Arial"/>
          <w:sz w:val="20"/>
          <w:szCs w:val="20"/>
        </w:rPr>
        <w:t xml:space="preserve">Gap reporting was specific: exact values from the documents were cited alongside the policy requirement and the shortfall (e.g. $1,000,000 found vs. $1,500,000 required; 10 model years vs. 8-year limit)</w:t>
      </w:r>
    </w:p>
    <w:p>
      <w:pPr>
        <w:pStyle w:val="ListParagraph"/>
        <w:numPr>
          <w:ilvl w:val="0"/>
          <w:numId w:val="2"/>
        </w:numPr>
        <w:spacing w:after="80"/>
      </w:pPr>
      <w:r>
        <w:rPr>
          <w:rFonts w:ascii="Arial" w:cs="Arial" w:eastAsia="Arial" w:hAnsi="Arial"/>
          <w:sz w:val="20"/>
          <w:szCs w:val="20"/>
        </w:rPr>
        <w:t xml:space="preserve">Policy citations were grounded in the provided document — section numbers referenced (3.2, 4.1) correspond to the fictional policy, confirming the AI was reasoning from the retrieved policy, not general knowledge</w:t>
      </w:r>
    </w:p>
    <w:p>
      <w:pPr>
        <w:pStyle w:val="ListParagraph"/>
        <w:numPr>
          <w:ilvl w:val="0"/>
          <w:numId w:val="2"/>
        </w:numPr>
        <w:spacing w:after="80"/>
      </w:pPr>
      <w:r>
        <w:rPr>
          <w:rFonts w:ascii="Arial" w:cs="Arial" w:eastAsia="Arial" w:hAnsi="Arial"/>
          <w:sz w:val="20"/>
          <w:szCs w:val="20"/>
        </w:rPr>
        <w:t xml:space="preserve">Vehicle 2 returned clean in both runs — no false positives on the compliant vehicle across either package</w:t>
      </w:r>
    </w:p>
    <w:p>
      <w:pPr>
        <w:pStyle w:val="ListParagraph"/>
        <w:numPr>
          <w:ilvl w:val="0"/>
          <w:numId w:val="2"/>
        </w:numPr>
        <w:spacing w:after="80"/>
      </w:pPr>
      <w:r>
        <w:rPr>
          <w:rFonts w:ascii="Arial" w:cs="Arial" w:eastAsia="Arial" w:hAnsi="Arial"/>
          <w:sz w:val="20"/>
          <w:szCs w:val="20"/>
        </w:rPr>
        <w:t xml:space="preserve">The four-column output structure (Requirement | Policy Ref | Finding | Details) produced a scannable, consistent format that maps directly onto how a reviewer would work through a compliance check</w:t>
      </w:r>
    </w:p>
    <w:p>
      <w:pPr>
        <w:pStyle w:val="ListParagraph"/>
        <w:numPr>
          <w:ilvl w:val="0"/>
          <w:numId w:val="2"/>
        </w:numPr>
        <w:spacing w:after="80"/>
      </w:pPr>
      <w:r>
        <w:rPr>
          <w:rFonts w:ascii="Arial" w:cs="Arial" w:eastAsia="Arial" w:hAnsi="Arial"/>
          <w:sz w:val="20"/>
          <w:szCs w:val="20"/>
        </w:rPr>
        <w:t xml:space="preserve">Reviewer Notes appropriately surfaced gray areas — items the AI observed but could not resolve from submitted documents alone — rather than attempting to resolve them</w:t>
      </w:r>
    </w:p>
    <w:p>
      <w:pPr>
        <w:pStyle w:val="ListParagraph"/>
        <w:numPr>
          <w:ilvl w:val="0"/>
          <w:numId w:val="2"/>
        </w:numPr>
        <w:spacing w:after="80"/>
      </w:pPr>
      <w:r>
        <w:rPr>
          <w:rFonts w:ascii="Arial" w:cs="Arial" w:eastAsia="Arial" w:hAnsi="Arial"/>
          <w:sz w:val="20"/>
          <w:szCs w:val="20"/>
        </w:rPr>
        <w:t xml:space="preserve">Clean result trustworthiness: the Package A all-clear was well-calibrated and earned intellectual trust on first use</w:t>
      </w:r>
    </w:p>
    <w:p>
      <w:pPr>
        <w:spacing w:after="80"/>
      </w:pPr>
      <w:r>
        <w:t xml:space="preserve"/>
      </w:r>
    </w:p>
    <w:p>
      <w:pPr>
        <w:pStyle w:val="Heading2"/>
      </w:pPr>
      <w:r>
        <w:rPr>
          <w:rFonts w:ascii="Arial" w:cs="Arial" w:eastAsia="Arial" w:hAnsi="Arial"/>
          <w:b/>
          <w:bCs/>
          <w:sz w:val="22"/>
          <w:szCs w:val="22"/>
        </w:rPr>
        <w:t xml:space="preserve">Limitations and observations</w:t>
      </w:r>
    </w:p>
    <w:p>
      <w:pPr>
        <w:pStyle w:val="ListParagraph"/>
        <w:numPr>
          <w:ilvl w:val="0"/>
          <w:numId w:val="2"/>
        </w:numPr>
        <w:spacing w:after="80"/>
      </w:pPr>
      <w:r>
        <w:rPr>
          <w:rFonts w:ascii="Arial" w:cs="Arial" w:eastAsia="Arial" w:hAnsi="Arial"/>
          <w:b/>
          <w:bCs/>
          <w:sz w:val="20"/>
          <w:szCs w:val="20"/>
        </w:rPr>
        <w:t xml:space="preserve">Trust takes repetition, not just accuracy. </w:t>
      </w:r>
      <w:r>
        <w:rPr>
          <w:rFonts w:ascii="Arial" w:cs="Arial" w:eastAsia="Arial" w:hAnsi="Arial"/>
          <w:sz w:val="20"/>
          <w:szCs w:val="20"/>
        </w:rPr>
        <w:t xml:space="preserve">Package A produced a clean result that was intellectually trustworthy. However, behavioral trust — actually relying on the all-clear without re-checking — takes repeated exposure. A reviewer new to the tool will likely spot-check results early on regardless of output quality. This is normal and expected; it is an adoption pattern, not a tool failure.</w:t>
      </w:r>
    </w:p>
    <w:p>
      <w:pPr>
        <w:pStyle w:val="ListParagraph"/>
        <w:numPr>
          <w:ilvl w:val="0"/>
          <w:numId w:val="2"/>
        </w:numPr>
        <w:spacing w:after="80"/>
      </w:pPr>
      <w:r>
        <w:rPr>
          <w:rFonts w:ascii="Arial" w:cs="Arial" w:eastAsia="Arial" w:hAnsi="Arial"/>
          <w:b/>
          <w:bCs/>
          <w:sz w:val="20"/>
          <w:szCs w:val="20"/>
        </w:rPr>
        <w:t xml:space="preserve">The 4-door reasoning used general knowledge, not submitted documents. </w:t>
      </w:r>
      <w:r>
        <w:rPr>
          <w:rFonts w:ascii="Arial" w:cs="Arial" w:eastAsia="Arial" w:hAnsi="Arial"/>
          <w:sz w:val="20"/>
          <w:szCs w:val="20"/>
        </w:rPr>
        <w:t xml:space="preserve">The AI confirmed Vehicle 1 met the 4-door requirement (Section 4.2) based on general knowledge of the Toyota Camry body style — not because any submitted document stated the door count. This was accurate, but it is a different type of reasoning than policy-grounded document checking. In a real deployment, this should be a Reviewer Note rather than a Compliant finding, since the AI cannot verify door count from submitted materials alone.</w:t>
      </w:r>
    </w:p>
    <w:p>
      <w:pPr>
        <w:pStyle w:val="ListParagraph"/>
        <w:numPr>
          <w:ilvl w:val="0"/>
          <w:numId w:val="2"/>
        </w:numPr>
        <w:spacing w:after="80"/>
      </w:pPr>
      <w:r>
        <w:rPr>
          <w:rFonts w:ascii="Arial" w:cs="Arial" w:eastAsia="Arial" w:hAnsi="Arial"/>
          <w:b/>
          <w:bCs/>
          <w:sz w:val="20"/>
          <w:szCs w:val="20"/>
        </w:rPr>
        <w:t xml:space="preserve">Input document cleanliness affected output calibration. </w:t>
      </w:r>
      <w:r>
        <w:rPr>
          <w:rFonts w:ascii="Arial" w:cs="Arial" w:eastAsia="Arial" w:hAnsi="Arial"/>
          <w:sz w:val="20"/>
          <w:szCs w:val="20"/>
        </w:rPr>
        <w:t xml:space="preserve">The Package B run with the researcher reference table present produced slightly less consistent output than the clean run, even though detection was identical. Extraneous context in submitted documents can affect output quality. This has implications for real-world deployments where applicants may include cover letters, notes, or other non-standard materials in their submission packages.</w:t>
      </w:r>
    </w:p>
    <w:p>
      <w:pPr>
        <w:pStyle w:val="ListParagraph"/>
        <w:numPr>
          <w:ilvl w:val="0"/>
          <w:numId w:val="2"/>
        </w:numPr>
        <w:spacing w:after="80"/>
      </w:pPr>
      <w:r>
        <w:rPr>
          <w:rFonts w:ascii="Arial" w:cs="Arial" w:eastAsia="Arial" w:hAnsi="Arial"/>
          <w:b/>
          <w:bCs/>
          <w:sz w:val="20"/>
          <w:szCs w:val="20"/>
        </w:rPr>
        <w:t xml:space="preserve">Fictional policy is a controlled environment. </w:t>
      </w:r>
      <w:r>
        <w:rPr>
          <w:rFonts w:ascii="Arial" w:cs="Arial" w:eastAsia="Arial" w:hAnsi="Arial"/>
          <w:sz w:val="20"/>
          <w:szCs w:val="20"/>
        </w:rPr>
        <w:t xml:space="preserve">All policy requirements were clean, specific, and unambiguous. Real municipal code is messier — conditional requirements, cross-references, exceptions, and interpretive language will create harder retrieval and reasoning challenges than this experiment tested.</w:t>
      </w:r>
    </w:p>
    <w:p>
      <w:pPr>
        <w:spacing w:after="80"/>
      </w:pPr>
      <w:r>
        <w:t xml:space="preserve"/>
      </w:r>
    </w:p>
    <w:p>
      <w:pPr>
        <w:pStyle w:val="Heading1"/>
      </w:pPr>
      <w:r>
        <w:rPr>
          <w:rFonts w:ascii="Arial" w:cs="Arial" w:eastAsia="Arial" w:hAnsi="Arial"/>
          <w:b/>
          <w:bCs/>
          <w:sz w:val="26"/>
          <w:szCs w:val="26"/>
        </w:rPr>
        <w:t xml:space="preserve">Operational Implications</w:t>
      </w:r>
    </w:p>
    <w:p>
      <w:pPr>
        <w:pStyle w:val="Heading2"/>
      </w:pPr>
      <w:r>
        <w:rPr>
          <w:rFonts w:ascii="Arial" w:cs="Arial" w:eastAsia="Arial" w:hAnsi="Arial"/>
          <w:b/>
          <w:bCs/>
          <w:sz w:val="22"/>
          <w:szCs w:val="22"/>
        </w:rPr>
        <w:t xml:space="preserve">The capability gap this closes</w:t>
      </w:r>
    </w:p>
    <w:p>
      <w:pPr>
        <w:spacing w:after="100"/>
      </w:pPr>
      <w:r>
        <w:rPr>
          <w:rFonts w:ascii="Arial" w:cs="Arial" w:eastAsia="Arial" w:hAnsi="Arial"/>
          <w:b w:val="false"/>
          <w:bCs w:val="false"/>
          <w:i w:val="false"/>
          <w:iCs w:val="false"/>
          <w:sz w:val="20"/>
          <w:szCs w:val="20"/>
        </w:rPr>
        <w:t xml:space="preserve">Week 1 proved AI can check consistency across submitted documents. This experiment proves it can extend that check to policy requirements — the natural next layer. Together, the two capabilities cover the core of what the initial review step requires: internal consistency across documents, and compliance against policy. That is a meaningful reduction in the interpretive load staff currently carry.</w:t>
      </w:r>
    </w:p>
    <w:p>
      <w:pPr>
        <w:spacing w:after="80"/>
      </w:pPr>
      <w:r>
        <w:t xml:space="preserve"/>
      </w:r>
    </w:p>
    <w:p>
      <w:pPr>
        <w:pStyle w:val="Heading2"/>
      </w:pPr>
      <w:r>
        <w:rPr>
          <w:rFonts w:ascii="Arial" w:cs="Arial" w:eastAsia="Arial" w:hAnsi="Arial"/>
          <w:b/>
          <w:bCs/>
          <w:sz w:val="22"/>
          <w:szCs w:val="22"/>
        </w:rPr>
        <w:t xml:space="preserve">Deficiency notice quality</w:t>
      </w:r>
    </w:p>
    <w:p>
      <w:pPr>
        <w:spacing w:after="100"/>
      </w:pPr>
      <w:r>
        <w:rPr>
          <w:rFonts w:ascii="Arial" w:cs="Arial" w:eastAsia="Arial" w:hAnsi="Arial"/>
          <w:b w:val="false"/>
          <w:bCs w:val="false"/>
          <w:i w:val="false"/>
          <w:iCs w:val="false"/>
          <w:sz w:val="20"/>
          <w:szCs w:val="20"/>
        </w:rPr>
        <w:t xml:space="preserve">The specificity of the non-compliant findings is directly usable for drafting a deficiency notice. Rather than 'insurance coverage is insufficient,' the reviewer has the exact figure from the document, the requirement from the policy section, and the shortfall amount. A precise, actionable deficiency notice can be drafted from the output on the first pass.</w:t>
      </w:r>
    </w:p>
    <w:p>
      <w:pPr>
        <w:spacing w:after="80"/>
      </w:pPr>
      <w:r>
        <w:t xml:space="preserve"/>
      </w:r>
    </w:p>
    <w:p>
      <w:pPr>
        <w:pStyle w:val="Heading2"/>
      </w:pPr>
      <w:r>
        <w:rPr>
          <w:rFonts w:ascii="Arial" w:cs="Arial" w:eastAsia="Arial" w:hAnsi="Arial"/>
          <w:b/>
          <w:bCs/>
          <w:sz w:val="22"/>
          <w:szCs w:val="22"/>
        </w:rPr>
        <w:t xml:space="preserve">The trust and adoption curve</w:t>
      </w:r>
    </w:p>
    <w:p>
      <w:pPr>
        <w:spacing w:after="100"/>
      </w:pPr>
      <w:r>
        <w:rPr>
          <w:rFonts w:ascii="Arial" w:cs="Arial" w:eastAsia="Arial" w:hAnsi="Arial"/>
          <w:b w:val="false"/>
          <w:bCs w:val="false"/>
          <w:i w:val="false"/>
          <w:iCs w:val="false"/>
          <w:sz w:val="20"/>
          <w:szCs w:val="20"/>
        </w:rPr>
        <w:t xml:space="preserve">The tool earned intellectual trust in this experiment. Behavioral trust — the point where a reviewer acts on the all-clear without re-checking — will take repeated use and accumulated experience with the tool's accuracy. Implementation strategy should account for this: early adopters will re-check results, and that is appropriate. The goal is not to eliminate verification immediately but to shorten the verification burden over time as trust accumulates.</w:t>
      </w:r>
    </w:p>
    <w:p>
      <w:pPr>
        <w:spacing w:after="80"/>
      </w:pPr>
      <w:r>
        <w:t xml:space="preserve"/>
      </w:r>
    </w:p>
    <w:p>
      <w:pPr>
        <w:pStyle w:val="Heading2"/>
      </w:pPr>
      <w:r>
        <w:rPr>
          <w:rFonts w:ascii="Arial" w:cs="Arial" w:eastAsia="Arial" w:hAnsi="Arial"/>
          <w:b/>
          <w:bCs/>
          <w:sz w:val="22"/>
          <w:szCs w:val="22"/>
        </w:rPr>
        <w:t xml:space="preserve">The 4-door observation as a deployment design question</w:t>
      </w:r>
    </w:p>
    <w:p>
      <w:pPr>
        <w:spacing w:after="100"/>
      </w:pPr>
      <w:r>
        <w:rPr>
          <w:rFonts w:ascii="Arial" w:cs="Arial" w:eastAsia="Arial" w:hAnsi="Arial"/>
          <w:b w:val="false"/>
          <w:bCs w:val="false"/>
          <w:i w:val="false"/>
          <w:iCs w:val="false"/>
          <w:sz w:val="20"/>
          <w:szCs w:val="20"/>
        </w:rPr>
        <w:t xml:space="preserve">The AI's use of general knowledge to confirm vehicle eligibility requirements not verifiable from submitted documents raises a design question: should AI-generated compliance findings be limited to what the submitted documents can support, or is general knowledge reasoning acceptable when it is reliably accurate? For a government deployment, the more conservative answer is to surface these as Reviewer Notes rather than Compliant findings — preserving human accountability for determinations that go beyond the submitted record.</w:t>
      </w:r>
    </w:p>
    <w:p>
      <w:pPr>
        <w:spacing w:after="80"/>
      </w:pPr>
      <w:r>
        <w:t xml:space="preserve"/>
      </w:r>
    </w:p>
    <w:p>
      <w:pPr>
        <w:pStyle w:val="Heading1"/>
      </w:pPr>
      <w:r>
        <w:rPr>
          <w:rFonts w:ascii="Arial" w:cs="Arial" w:eastAsia="Arial" w:hAnsi="Arial"/>
          <w:b/>
          <w:bCs/>
          <w:sz w:val="26"/>
          <w:szCs w:val="26"/>
        </w:rPr>
        <w:t xml:space="preserve">What to Test Next</w:t>
      </w:r>
    </w:p>
    <w:p>
      <w:pPr>
        <w:pStyle w:val="ListParagraph"/>
        <w:numPr>
          <w:ilvl w:val="0"/>
          <w:numId w:val="2"/>
        </w:numPr>
        <w:spacing w:after="80"/>
      </w:pPr>
      <w:r>
        <w:rPr>
          <w:rFonts w:ascii="Arial" w:cs="Arial" w:eastAsia="Arial" w:hAnsi="Arial"/>
          <w:sz w:val="20"/>
          <w:szCs w:val="20"/>
        </w:rPr>
        <w:t xml:space="preserve">Test with ambiguous policy language — conditional requirements, exceptions, cross-references. Where does policy grounding degrade when the source text is less clean?</w:t>
      </w:r>
    </w:p>
    <w:p>
      <w:pPr>
        <w:pStyle w:val="ListParagraph"/>
        <w:numPr>
          <w:ilvl w:val="0"/>
          <w:numId w:val="2"/>
        </w:numPr>
        <w:spacing w:after="80"/>
      </w:pPr>
      <w:r>
        <w:rPr>
          <w:rFonts w:ascii="Arial" w:cs="Arial" w:eastAsia="Arial" w:hAnsi="Arial"/>
          <w:sz w:val="20"/>
          <w:szCs w:val="20"/>
        </w:rPr>
        <w:t xml:space="preserve">Test with scanned documents — does OCR quality affect policy compliance detection the way it might affect cross-document consistency checking?</w:t>
      </w:r>
    </w:p>
    <w:p>
      <w:pPr>
        <w:pStyle w:val="ListParagraph"/>
        <w:numPr>
          <w:ilvl w:val="0"/>
          <w:numId w:val="2"/>
        </w:numPr>
        <w:spacing w:after="80"/>
      </w:pPr>
      <w:r>
        <w:rPr>
          <w:rFonts w:ascii="Arial" w:cs="Arial" w:eastAsia="Arial" w:hAnsi="Arial"/>
          <w:sz w:val="20"/>
          <w:szCs w:val="20"/>
        </w:rPr>
        <w:t xml:space="preserve">Introduce subtler compliance gaps — borderline vehicle age, coverage amounts close to the minimum. Where does the AI's numeric reasoning become unreliable?</w:t>
      </w:r>
    </w:p>
    <w:p>
      <w:pPr>
        <w:pStyle w:val="ListParagraph"/>
        <w:numPr>
          <w:ilvl w:val="0"/>
          <w:numId w:val="2"/>
        </w:numPr>
        <w:spacing w:after="80"/>
      </w:pPr>
      <w:r>
        <w:rPr>
          <w:rFonts w:ascii="Arial" w:cs="Arial" w:eastAsia="Arial" w:hAnsi="Arial"/>
          <w:sz w:val="20"/>
          <w:szCs w:val="20"/>
        </w:rPr>
        <w:t xml:space="preserve">Test the applicant-facing version — same policy compliance check presented to the applicant before submission rather than to the staff reviewer</w:t>
      </w:r>
    </w:p>
    <w:p>
      <w:pPr>
        <w:pStyle w:val="ListParagraph"/>
        <w:numPr>
          <w:ilvl w:val="0"/>
          <w:numId w:val="2"/>
        </w:numPr>
        <w:spacing w:after="80"/>
      </w:pPr>
      <w:r>
        <w:rPr>
          <w:rFonts w:ascii="Arial" w:cs="Arial" w:eastAsia="Arial" w:hAnsi="Arial"/>
          <w:sz w:val="20"/>
          <w:szCs w:val="20"/>
        </w:rPr>
        <w:t xml:space="preserve">Measure the trust accumulation question with real staff: how many clean-result exposures does it take before reviewers stop re-checking?</w:t>
      </w:r>
    </w:p>
    <w:p>
      <w:pPr>
        <w:spacing w:after="80"/>
      </w:pPr>
      <w:r>
        <w:t xml:space="preserve"/>
      </w:r>
    </w:p>
    <w:p>
      <w:pPr>
        <w:pBdr>
          <w:top w:val="single" w:color="CCCCCC" w:sz="2" w:space="1"/>
        </w:pBdr>
        <w:spacing w:before="200"/>
      </w:pPr>
      <w:r>
        <w:rPr>
          <w:rFonts w:ascii="Arial" w:cs="Arial" w:eastAsia="Arial" w:hAnsi="Arial"/>
          <w:i/>
          <w:iCs/>
          <w:color w:val="888888"/>
          <w:sz w:val="18"/>
          <w:szCs w:val="18"/>
        </w:rPr>
        <w:t xml:space="preserve">Week 2 experiment notes — Civic AI 30-Day Research &amp; Practice System. Living notes, updated as thinking evolves.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2026-06-04T13:19:13.778Z</dcterms:created>
  <dcterms:modified xsi:type="dcterms:W3CDTF">2026-06-04T13:19:13.791Z</dcterms:modified>
</cp:coreProperties>
</file>

<file path=docProps/custom.xml><?xml version="1.0" encoding="utf-8"?>
<Properties xmlns="http://schemas.openxmlformats.org/officeDocument/2006/custom-properties" xmlns:vt="http://schemas.openxmlformats.org/officeDocument/2006/docPropsVTypes"/>
</file>