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8"/>
          <w:szCs w:val="28"/>
        </w:rPr>
        <w:t xml:space="preserve">CIVIC AI RESEARCH NOTES</w:t>
      </w:r>
    </w:p>
    <w:p>
      <w:pPr>
        <w:pBdr>
          <w:bottom w:val="single" w:color="2E75B6" w:sz="6" w:space="1"/>
        </w:pBdr>
        <w:spacing w:after="60"/>
      </w:pPr>
      <w:r>
        <w:rPr>
          <w:i/>
          <w:iCs/>
          <w:color w:val="555555"/>
          <w:sz w:val="22"/>
          <w:szCs w:val="22"/>
        </w:rPr>
        <w:t xml:space="preserve">Week 3, Monday — June 9, 2026</w:t>
      </w:r>
    </w:p>
    <w:p>
      <w:pPr>
        <w:spacing w:after="120"/>
      </w:pPr>
    </w:p>
    <w:p>
      <w:pPr>
        <w:pStyle w:val="Heading1"/>
      </w:pPr>
      <w:r>
        <w:t xml:space="preserve">AI Failure Modes in Government Operations</w:t>
      </w:r>
    </w:p>
    <w:p>
      <w:pPr>
        <w:spacing w:after="160"/>
      </w:pPr>
      <w:r>
        <w:t xml:space="preserve">Two weeks of experiments produced clean results under controlled conditions. Week 3 asks the harder question: what happens when the AI is wrong — and what does that mean in a government context where decisions affect real people and carry procedural accountability?</w:t>
      </w:r>
    </w:p>
    <w:p>
      <w:pPr>
        <w:spacing w:after="160"/>
      </w:pPr>
      <w:r>
        <w:t xml:space="preserve">This research note covers three areas in sequence: a taxonomy of how AI fails, why failure carries different stakes in public sector workflows, and what evaluation design looks like when you take those stakes seriously.</w:t>
      </w:r>
    </w:p>
    <w:p>
      <w:pPr>
        <w:spacing w:after="120"/>
      </w:pPr>
    </w:p>
    <w:p>
      <w:pPr>
        <w:pStyle w:val="Heading1"/>
      </w:pPr>
      <w:r>
        <w:t xml:space="preserve">Part 1 — A Taxonomy of Failure Modes</w:t>
      </w:r>
    </w:p>
    <w:p>
      <w:pPr>
        <w:spacing w:after="160"/>
      </w:pPr>
      <w:r>
        <w:t xml:space="preserve">Not all AI failures are equivalent. They differ in how they present, how detectable they are, and how much harm they can cause before anyone notices. Understanding the taxonomy is the starting point for designing against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Failure mode</w:t>
            </w:r>
          </w:p>
        </w:tc>
        <w:tc>
          <w:tcPr>
            <w:tcW w:type="dxa" w:w="358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What it looks like</w:t>
            </w:r>
          </w:p>
        </w:tc>
        <w:tc>
          <w:tcPr>
            <w:tcW w:type="dxa" w:w="358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Why it matters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Hallucination</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AI generates a claim, value, or finding that does not exist in the source documents. It invents rather than retrieves.</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 reviewer trusting the output acts on fabricated information. In permit review, this could mean approving an application based on insurance coverage that was never actually stated.</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0"/>
            </w:pPr>
            <w:r>
              <w:rPr>
                <w:b/>
                <w:bCs/>
                <w:i w:val="false"/>
                <w:iCs w:val="false"/>
              </w:rPr>
              <w:t xml:space="preserve">Silent retrieval failure</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RAG layer returns no relevant chunks, or the wrong ones. The LLM generates a response anyway, without signaling that it is ungrounded.</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most dangerous failure mode: the output looks authoritative, cites nothing, and the reviewer has no signal that the underlying retrieval failed. Identified in Week 2 RAG research as the highest-risk scenario.</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0"/>
            </w:pPr>
            <w:r>
              <w:rPr>
                <w:b/>
                <w:bCs/>
                <w:i w:val="false"/>
                <w:iCs w:val="false"/>
              </w:rPr>
              <w:t xml:space="preserve">Confident wrongness</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AI produces a factually incorrect output with high-confidence framing. No hedging, no uncertainty signal — just a wrong answer stated as fact.</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Particularly dangerous because it exploits the cognitive load reduction the tool was designed to provide. Staff who trust the summary stop checking. The error travels downstream.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Miscalibration</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Real issues are flagged at the wrong severity (a hard error treated as a reviewer note, or vice versa), or clean results are incorrectly flagged.</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Over-flagging erodes trust and creates verification burden. Under-flagging lets real issues through. Both undermine adoption — but in different ways and at different points in the workflow.</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Chunking errors (RAG-specific)</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 policy rule is split from its exception or condition during document chunking. The AI retrieves the rule but not the qualifier.</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Produces an accurate-sounding but incomplete compliance finding. An application flagged as non-compliant may actually qualify under an exception the AI never saw.</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Stale retrieval (RAG-specific)</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knowledge base has not been updated after a policy change. The AI retrieves and applies an outdated rule with full confidence.</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 structural risk in any RAG deployment without active knowledge base maintenance. In government, ordinances and administrative rules change; the system has no way to know what it does not know.</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Scope overreach</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AI attempts to resolve something it was instructed to escalate — making an eligibility call, interpreting an edge case, or rendering a compliance judgment that requires human discretion.</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boundary between surfacing information and making a determination is where procedural fairness lives. Crossing it — even when the AI gets it right — undermines the accountability structure the workflow depends on.</w:t>
            </w:r>
          </w:p>
        </w:tc>
      </w:tr>
    </w:tbl>
    <w:p>
      <w:pPr>
        <w:spacing w:after="120"/>
      </w:pPr>
    </w:p>
    <w:p>
      <w:pPr>
        <w:pBdr>
          <w:left w:val="single" w:color="2E75B6" w:sz="4" w:space="8"/>
        </w:pBdr>
        <w:spacing w:after="160"/>
        <w:ind w:left="720"/>
      </w:pPr>
      <w:r>
        <w:rPr>
          <w:i/>
          <w:iCs/>
          <w:color w:val="444444"/>
        </w:rPr>
        <w:t xml:space="preserve">The Week 1 experiment found no hallucinations, but noted the scenario was controlled and documents were clean digital text. That observation holds: controlled experiments with clean inputs are not a reliable proxy for real-world performance. Failure modes become visible when conditions degrade — scanned documents, unusual formatting, policy edge cases, subtler discrepancies.</w:t>
      </w:r>
    </w:p>
    <w:p>
      <w:pPr>
        <w:spacing w:after="120"/>
      </w:pPr>
    </w:p>
    <w:p>
      <w:pPr>
        <w:pStyle w:val="Heading1"/>
      </w:pPr>
      <w:r>
        <w:t xml:space="preserve">Part 2 — Why Failure Hits Differently in Government</w:t>
      </w:r>
    </w:p>
    <w:p>
      <w:pPr>
        <w:spacing w:after="160"/>
      </w:pPr>
      <w:r>
        <w:t xml:space="preserve">AI failure in a consumer context is often recoverable: a bad recommendation, a wrong answer the user can discard. In government operations, failure has structural consequences that do not exist in most commercial applications.</w:t>
      </w:r>
    </w:p>
    <w:p>
      <w:pPr>
        <w:spacing w:after="120"/>
      </w:pPr>
    </w:p>
    <w:p>
      <w:pPr>
        <w:pStyle w:val="Heading2"/>
      </w:pPr>
      <w:r>
        <w:t xml:space="preserve">Decisions carry procedural accountability</w:t>
      </w:r>
    </w:p>
    <w:p>
      <w:pPr>
        <w:spacing w:after="160"/>
      </w:pPr>
      <w:r>
        <w:t xml:space="preserve">A permit approval or denial is not a suggestion. It triggers legal obligations, financial commitments, and rights of appeal. When an AI-assisted review contributes to a wrong decision, the accountability question does not disappear — it becomes harder to trace and defend. Government agencies need to be able to explain, reconstruct, and justify decisions. An AI error embedded in that chain of reasoning is not just a quality problem; it is a procedural fairness problem.</w:t>
      </w:r>
    </w:p>
    <w:p>
      <w:pPr>
        <w:spacing w:after="120"/>
      </w:pPr>
    </w:p>
    <w:p>
      <w:pPr>
        <w:pStyle w:val="Heading2"/>
      </w:pPr>
      <w:r>
        <w:t xml:space="preserve">Staff cognitive load reduction creates new vulnerability</w:t>
      </w:r>
    </w:p>
    <w:p>
      <w:pPr>
        <w:spacing w:after="160"/>
      </w:pPr>
      <w:r>
        <w:t xml:space="preserve">The reason AI is valuable in permit review — reducing the cognitive labor of pattern-matching across documents — is also what makes failure dangerous. A reviewer who trusts the summary stops independently verifying. The tool designed to reduce errors becomes a transmission mechanism for errors the AI makes with confidence. This is the core tension: the more effective the tool is at reducing cognitive load, the more consequential its mistakes become.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Principle</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What it means for AI failure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Public trust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Government decisions must be defensible to the public. An AI error that affects a permit decision — especially one that disadvantages an applicant — carries reputational and legal exposure beyond the individual case.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Equity</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If AI failures concentrate among certain applicant populations — those submitting scanned documents, those with less-standard business structures, those with limited digital access — the tool produces disparate outcomes even when its average accuracy is high.</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Auditability</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Every finding must be traceable to a source document and policy section. An AI output that cannot be audited — where the reviewer cannot see what was retrieved, what was checked, and why a flag was raised — cannot be used in a defensible decision process.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Resource constraints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Government teams do not have redundant review capacity to catch AI errors at scale. In a well-resourced organization, a tool that is wrong 5% of the time is a minor nuisance. In a lean permit office processing hundreds of applications, that error rate has real operational consequences.</w:t>
            </w:r>
          </w:p>
        </w:tc>
      </w:tr>
    </w:tbl>
    <w:p>
      <w:pPr>
        <w:spacing w:after="120"/>
      </w:pPr>
    </w:p>
    <w:p>
      <w:pPr>
        <w:pBdr>
          <w:left w:val="single" w:color="2E75B6" w:sz="4" w:space="8"/>
        </w:pBdr>
        <w:spacing w:after="160"/>
        <w:ind w:left="720"/>
      </w:pPr>
      <w:r>
        <w:rPr>
          <w:i/>
          <w:iCs/>
          <w:color w:val="444444"/>
        </w:rPr>
        <w:t xml:space="preserve">The Week 1 experiment noted that trust in clean results matters as much as trust in flagged findings. This is the government version of that problem at scale: if staff cannot rely on AI-assisted review, they must re-check everything, and the tool adds burden rather than reducing it. But if they rely on it too much, errors travel further before they are caught.</w:t>
      </w:r>
    </w:p>
    <w:p>
      <w:pPr>
        <w:spacing w:after="120"/>
      </w:pPr>
    </w:p>
    <w:p>
      <w:pPr>
        <w:pStyle w:val="Heading1"/>
      </w:pPr>
      <w:r>
        <w:t xml:space="preserve">Part 3 — Evaluation Design When Stakes Are High</w:t>
      </w:r>
    </w:p>
    <w:p>
      <w:pPr>
        <w:spacing w:after="160"/>
      </w:pPr>
      <w:r>
        <w:t xml:space="preserve">The evaluation checklist in the project repository was built for this purpose. This section extends it with principles specific to failure mode detection — not just whether the AI got the right answer in a controlled test, but whether the evaluation design itself can surface the failure modes that matter most in production.</w:t>
      </w:r>
    </w:p>
    <w:p>
      <w:pPr>
        <w:spacing w:after="120"/>
      </w:pPr>
    </w:p>
    <w:p>
      <w:pPr>
        <w:pStyle w:val="Heading2"/>
      </w:pPr>
      <w:r>
        <w:t xml:space="preserve">Evaluation must be adversarial, not just confirmatory</w:t>
      </w:r>
    </w:p>
    <w:p>
      <w:pPr>
        <w:spacing w:after="160"/>
      </w:pPr>
      <w:r>
        <w:t xml:space="preserve">Controlled experiments with clean, well-formed documents test whether the capability works under ideal conditions. They do not test whether it fails gracefully under realistic ones. Adversarial evaluation deliberately introduces the conditions under which failure is most likely: degraded inputs, edge cases, ambiguous policy language, missing documents, subtle rather than obvious discrepancies.</w:t>
      </w:r>
    </w:p>
    <w:p>
      <w:pPr>
        <w:spacing w:after="120"/>
      </w:pPr>
    </w:p>
    <w:p>
      <w:pPr>
        <w:pStyle w:val="Heading2"/>
      </w:pPr>
      <w:r>
        <w:t xml:space="preserve">Key principles for failure-aware evaluation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Principle</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Application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Test clean results, not just flags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An all-clear result is only useful if it is trustworthy. Evaluation must verify that clean results are accurate — not just that flagged results are correct. False negatives (missed issues on applications the AI cleared) are harder to detect and more consequential than false positives.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Introduce degraded inputs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OCR quality on scanned documents, non-standard formatting, handwritten fields, documents in languages other than English. Week 1 noted this as an untested variable. Week 3 experimentation should address it.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Test subtlety, not just obviousness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Week 1 experiment planted three VIN discrepancies — an obvious, three-way conflict. Real applications will have subtler issues: a name with a slightly different abbreviation, an address with a unit number on one document and not another, a coverage amount $10,000 below the minimum. Detection capability degrades as discrepancy size shrinks.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Check for scope overreach</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Does the AI attempt to resolve things it should escalate? This is especially important in a policy compliance context: the AI should surface a finding and cite a policy section, not decide whether the applicant qualifies. Evaluation should deliberately include edge cases where the right answer is ‘requires human judgment.’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Measure consistency across runs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evaluation checklist flags this but the experiments have not yet tested it: does the AI produce consistent results on the same documents across multiple runs? Inconsistency is itself a failure mode — if two reviewers get different AI outputs on the same application, the tool is not reliable.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Evaluate the output format, not just the findings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 correct finding buried in a hard-to-scan output is less useful than a correct finding presented clearly. Evaluation should assess whether the output structure supports efficient human review — not just whether the AI found what it was supposed to find.</w:t>
            </w:r>
          </w:p>
        </w:tc>
      </w:tr>
    </w:tbl>
    <w:p>
      <w:pPr>
        <w:spacing w:after="120"/>
      </w:pPr>
    </w:p>
    <w:p>
      <w:pPr>
        <w:pStyle w:val="Heading2"/>
      </w:pPr>
      <w:r>
        <w:t xml:space="preserve">The relationship between evaluation and trust</w:t>
      </w:r>
    </w:p>
    <w:p>
      <w:pPr>
        <w:spacing w:after="160"/>
      </w:pPr>
      <w:r>
        <w:t xml:space="preserve">Evaluation is not a one-time gate before deployment. It is the ongoing basis for staff trust in the tool. The evaluation checklist asks: can a reviewer trust an all-clear result, or do they feel the need to re-check? The answer to that question is not determined by a pre-deployment test — it is shaped by an accumulating record of what the tool has gotten right and wrong in real use.</w:t>
      </w:r>
    </w:p>
    <w:p>
      <w:pPr>
        <w:spacing w:after="160"/>
      </w:pPr>
      <w:r>
        <w:t xml:space="preserve">This means evaluation design should include mechanisms for ongoing monitoring: tracking when reviewers override AI findings, surfacing cases where the AI was wrong, and building a feedback loop that improves both the tool and the trust model around it. In government, that feedback loop is also part of the audit trail.</w:t>
      </w:r>
    </w:p>
    <w:p>
      <w:pPr>
        <w:spacing w:after="120"/>
      </w:pPr>
    </w:p>
    <w:p>
      <w:pPr>
        <w:pStyle w:val="Heading1"/>
      </w:pPr>
      <w:r>
        <w:t xml:space="preserve">Connection to This Week’s Experiments</w:t>
      </w:r>
    </w:p>
    <w:p>
      <w:pPr>
        <w:spacing w:after="160"/>
      </w:pPr>
      <w:r>
        <w:t xml:space="preserve">The natural experiment design for Week 3 Wednesday follows directly from this research: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Experiment direction</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What it tests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Degraded inputs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Run the Week 1 or Week 2 scenario with a simulated scanned document — introduce OCR artifacts, inconsistent spacing, or partial field corruption. Does detection hold?</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Subtle discrepancies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Replace the obvious three-way VIN conflict with subtler mismatches: a one-digit transposition, a name variation (LLC vs L.L.C.), a coverage amount marginally below the minimum. Where does detection degrade?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Edge case escalation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Introduce a scenario where policy does not cleanly resolve the application — an unusual vehicle configuration, a non-standard lease structure. Does the AI flag it for human judgment or attempt to resolve it?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Consistency check</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Run the same package three times in fresh sessions. Compare outputs. Are findings consistent? Are severity levels stable? This is the simplest and most underrated evaluation.</w:t>
            </w:r>
          </w:p>
        </w:tc>
      </w:tr>
    </w:tbl>
    <w:p>
      <w:pPr>
        <w:spacing w:after="120"/>
      </w:pPr>
    </w:p>
    <w:p>
      <w:pPr>
        <w:pStyle w:val="Heading1"/>
      </w:pPr>
      <w:r>
        <w:t xml:space="preserve">Open Questions Going Into the Week</w:t>
      </w:r>
    </w:p>
    <w:p>
      <w:pPr>
        <w:pStyle w:val="ListParagraph"/>
        <w:numPr>
          <w:ilvl w:val="0"/>
          <w:numId w:val="2"/>
        </w:numPr>
        <w:spacing w:after="100"/>
      </w:pPr>
      <w:r>
        <w:t xml:space="preserve">At what error rate does an AI assist tool stop being an asset and become a liability in a government review workflow? Is that threshold different for false positives vs. false negatives?</w:t>
      </w:r>
    </w:p>
    <w:p>
      <w:pPr>
        <w:pStyle w:val="ListParagraph"/>
        <w:numPr>
          <w:ilvl w:val="0"/>
          <w:numId w:val="2"/>
        </w:numPr>
        <w:spacing w:after="100"/>
      </w:pPr>
      <w:r>
        <w:t xml:space="preserve">How should an AI output communicate uncertainty? A finding with ‘80% confidence’ is not operationally useful to a permit reviewer. What is the right way to surface uncertainty without creating ambiguity that undermines the tool’s value?</w:t>
      </w:r>
    </w:p>
    <w:p>
      <w:pPr>
        <w:pStyle w:val="ListParagraph"/>
        <w:numPr>
          <w:ilvl w:val="0"/>
          <w:numId w:val="2"/>
        </w:numPr>
        <w:spacing w:after="100"/>
      </w:pPr>
      <w:r>
        <w:t xml:space="preserve">When a reviewer overrides an AI finding, should that be logged? If so, how does that data feed back into evaluation? This is the feedback loop question — and in government it is also a records management question.</w:t>
      </w:r>
    </w:p>
    <w:p>
      <w:pPr>
        <w:pStyle w:val="ListParagraph"/>
        <w:numPr>
          <w:ilvl w:val="0"/>
          <w:numId w:val="2"/>
        </w:numPr>
        <w:spacing w:after="100"/>
      </w:pPr>
      <w:r>
        <w:t xml:space="preserve">How do you evaluate equity across applicant populations without a large enough sample to segment by document quality, language, or application type? This may be a Week 4 question rather than a Week 3 one, but it surfaces here.</w:t>
      </w:r>
    </w:p>
    <w:p>
      <w:pPr>
        <w:spacing w:after="120"/>
      </w:pPr>
    </w:p>
    <w:p>
      <w:pPr>
        <w:pBdr>
          <w:top w:val="single" w:color="CCCCCC" w:sz="4" w:space="8"/>
        </w:pBdr>
        <w:spacing w:after="0" w:before="240"/>
      </w:pPr>
      <w:r>
        <w:rPr>
          <w:i/>
          <w:iCs/>
          <w:color w:val="777777"/>
          <w:sz w:val="18"/>
          <w:szCs w:val="18"/>
        </w:rPr>
        <w:t xml:space="preserve">Week 3 research notes — Civic AI 30-Day Research &amp; Practice System. Living notes, updated as thinking evolves.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2026-06-08T11:39:21.893Z</dcterms:created>
  <dcterms:modified xsi:type="dcterms:W3CDTF">2026-06-08T11:39:21.894Z</dcterms:modified>
</cp:coreProperties>
</file>

<file path=docProps/custom.xml><?xml version="1.0" encoding="utf-8"?>
<Properties xmlns="http://schemas.openxmlformats.org/officeDocument/2006/custom-properties" xmlns:vt="http://schemas.openxmlformats.org/officeDocument/2006/docPropsVTypes"/>
</file>