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rPr>
        <w:t xml:space="preserve">RALLONGES AIRLESSCO</w:t>
      </w:r>
    </w:p>
    <w:p>
      <w:r>
        <w:t xml:space="preserve">Les outils à portée étendue sont particulièrement adaptés aux zones difficiles à atteindre comme les dessous de toit, les sols et les plafonds. Augmentez votre portée et profitez d'une pulvérisation supérieure sans échelle ni échafaudage. Les rallonges de buse airless et prolongateurs s'attachent directement sur les pistolets airless, de sorte à pulvériser sans difficulté les plafonds et les sols.</w:t>
      </w:r>
    </w:p>
    <w:p>
      <w:pPr>
        <w:spacing w:before="250" w:after="250"/>
      </w:pPr>
      <w:r>
        <w:t xml:space="preserve">---</w:t>
      </w:r>
    </w:p>
    <w:p>
      <w:r>
        <w:drawing>
          <wp:inline distT="0" distB="0" distL="0" distR="0">
            <wp:extent cx="1828800" cy="1828800"/>
            <wp:effectExtent b="0" l="0" r="0" t="0"/>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Rallonges de buse filetage « G »</w:t>
            </w:r>
          </w:p>
        </w:tc>
      </w:tr>
      <w:tr>
        <w:tc>
          <w:p>
            <w:r>
              <w:rPr>
                <w:b/>
                <w:bCs/>
              </w:rPr>
              <w:t xml:space="preserve">NUMÉRO DE PIÈCE :</w:t>
            </w:r>
          </w:p>
        </w:tc>
        <w:tc>
          <w:p>
            <w:r>
              <w:t xml:space="preserve">865609 - 15,2 cm (6 po)</w:t>
            </w:r>
          </w:p>
        </w:tc>
      </w:tr>
      <w:tr>
        <w:tc>
          <w:p/>
        </w:tc>
        <w:tc>
          <w:p>
            <w:r>
              <w:t xml:space="preserve">865602 - 30,5 cm (12 po)</w:t>
            </w:r>
          </w:p>
        </w:tc>
      </w:tr>
      <w:tr>
        <w:tc>
          <w:p/>
        </w:tc>
        <w:tc>
          <w:p>
            <w:r>
              <w:t xml:space="preserve">865603 - 45,7 cm (18 po)</w:t>
            </w:r>
          </w:p>
        </w:tc>
      </w:tr>
      <w:tr>
        <w:tc>
          <w:p/>
        </w:tc>
        <w:tc>
          <w:p>
            <w:r>
              <w:t xml:space="preserve">865604 - 61 cm (24 po)</w:t>
            </w:r>
          </w:p>
        </w:tc>
      </w:tr>
      <w:tr>
        <w:tc>
          <w:p>
            <w:r>
              <w:rPr>
                <w:b/>
                <w:bCs/>
              </w:rPr>
              <w:t xml:space="preserve">DISPONIBILITÉ :</w:t>
            </w:r>
          </w:p>
        </w:tc>
        <w:tc>
          <w:p>
            <w:r>
              <w:t xml:space="preserve">Amérique du Nord, du Sud et Amérique centrale, Europe, Moyen-Orient, Afrique, Asie, Australie</w:t>
            </w:r>
          </w:p>
        </w:tc>
      </w:tr>
      <w:tr>
        <w:tc>
          <w:p>
            <w:r>
              <w:rPr>
                <w:b/>
                <w:bCs/>
              </w:rPr>
              <w:t xml:space="preserve">NUMÉRO DE PIÈCE :</w:t>
            </w:r>
          </w:p>
        </w:tc>
        <w:tc>
          <w:p>
            <w:r>
              <w:t xml:space="preserve">865606 - 91,4 cm (36 po)</w:t>
            </w:r>
          </w:p>
        </w:tc>
      </w:tr>
      <w:tr>
        <w:tc>
          <w:p>
            <w:r>
              <w:rPr>
                <w:b/>
                <w:bCs/>
              </w:rPr>
              <w:t xml:space="preserve">DISPONIBILITÉ :</w:t>
            </w:r>
          </w:p>
        </w:tc>
        <w:tc>
          <w:p>
            <w:r>
              <w:t xml:space="preserve">Europe, Moyen-Orient, Afrique</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accessories-category</w:t>
            </w:r>
          </w:p>
        </w:tc>
      </w:tr>
      <w:tr>
        <w:tc>
          <w:p>
            <w:r>
              <w:t xml:space="preserve">title</w:t>
            </w:r>
          </w:p>
        </w:tc>
        <w:tc>
          <w:p>
            <w:pPr>
              <w:pStyle w:val="Heading2"/>
            </w:pPr>
            <w:r>
              <w:rPr>
                <w:b/>
                <w:bCs/>
              </w:rPr>
              <w:t xml:space="preserve">PLUS D’ACCESSOIRES</w:t>
            </w:r>
          </w:p>
        </w:tc>
      </w:tr>
      <w:tr>
        <w:tc>
          <w:p>
            <w:r>
              <w:t xml:space="preserve">types</w:t>
            </w:r>
          </w:p>
        </w:tc>
        <w:tc>
          <w:p>
            <w:pPr>
              <w:pStyle w:val="ListParagraph"/>
              <w:numPr>
                <w:ilvl w:val="0"/>
                <w:numId w:val="146"/>
              </w:numPr>
            </w:pPr>
            <w:r>
              <w:t xml:space="preserve">sprayguns</w:t>
            </w:r>
          </w:p>
          <w:p>
            <w:pPr>
              <w:pStyle w:val="ListParagraph"/>
              <w:numPr>
                <w:ilvl w:val="0"/>
                <w:numId w:val="146"/>
              </w:numPr>
            </w:pPr>
            <w:r>
              <w:t xml:space="preserve">hoses</w:t>
            </w:r>
          </w:p>
          <w:p>
            <w:pPr>
              <w:pStyle w:val="ListParagraph"/>
              <w:numPr>
                <w:ilvl w:val="0"/>
                <w:numId w:val="146"/>
              </w:numPr>
            </w:pPr>
            <w:r>
              <w:t xml:space="preserve">spraytips</w:t>
            </w:r>
          </w:p>
          <w:p>
            <w:pPr>
              <w:pStyle w:val="ListParagraph"/>
              <w:numPr>
                <w:ilvl w:val="0"/>
                <w:numId w:val="146"/>
              </w:numPr>
            </w:pPr>
            <w:r>
              <w:t xml:space="preserve">extensions</w:t>
            </w:r>
          </w:p>
          <w:p>
            <w:pPr>
              <w:pStyle w:val="ListParagraph"/>
              <w:numPr>
                <w:ilvl w:val="0"/>
                <w:numId w:val="146"/>
              </w:numPr>
            </w:pPr>
            <w:r>
              <w:t xml:space="preserve">fluids</w:t>
            </w:r>
          </w:p>
          <w:p>
            <w:pPr>
              <w:pStyle w:val="ListParagraph"/>
              <w:numPr>
                <w:ilvl w:val="0"/>
                <w:numId w:val="146"/>
              </w:numPr>
            </w:pPr>
            <w:r>
              <w:t xml:space="preserve">filters</w:t>
            </w:r>
          </w:p>
          <w:p>
            <w:pPr>
              <w:pStyle w:val="ListParagraph"/>
              <w:numPr>
                <w:ilvl w:val="0"/>
                <w:numId w:val="146"/>
              </w:numPr>
            </w:pPr>
            <w:r>
              <w:t xml:space="preserve">hvlp</w:t>
            </w:r>
          </w:p>
          <w:p>
            <w:pPr>
              <w:pStyle w:val="ListParagraph"/>
              <w:numPr>
                <w:ilvl w:val="0"/>
                <w:numId w:val="146"/>
              </w:numPr>
            </w:pPr>
            <w:r>
              <w:t xml:space="preserve">striping</w:t>
            </w:r>
          </w:p>
          <w:p>
            <w:pPr>
              <w:pStyle w:val="ListParagraph"/>
              <w:numPr>
                <w:ilvl w:val="0"/>
                <w:numId w:val="146"/>
              </w:numPr>
            </w:pPr>
            <w:r>
              <w:t xml:space="preserve">other</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Rallonges Airlessco | Airlessco.com</w:t>
            </w:r>
          </w:p>
        </w:tc>
      </w:tr>
      <w:tr>
        <w:tc>
          <w:p>
            <w:r>
              <w:t xml:space="preserve">Description</w:t>
            </w:r>
          </w:p>
        </w:tc>
        <w:tc>
          <w:p>
            <w:r>
              <w:t xml:space="preserve">Équipement de pulvérisation airless professionnel Airlessco conçu pour offrir des performances exceptionnelles. Conception durable.</w:t>
            </w:r>
          </w:p>
        </w:tc>
      </w:tr>
      <w:tr>
        <w:tc>
          <w:p>
            <w:r>
              <w:t xml:space="preserve">Locale</w:t>
            </w:r>
          </w:p>
        </w:tc>
        <w:tc>
          <w:p>
            <w:r>
              <w:t xml:space="preserve">/emea/fr</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3"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144"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145"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43"/>
    <w:lvlOverride w:ilvl="0">
      <w:startOverride w:val="1"/>
    </w:lvlOverride>
  </w:num>
  <w:num w:numId="146">
    <w:abstractNumId w:val="14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28d74eb2b5cdd2961543df26507e3e3919203e2c.jpe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2023-02-20T19:37:32.315Z</dcterms:created>
  <dcterms:modified xsi:type="dcterms:W3CDTF">2023-02-20T19:37:32.315Z</dcterms:modified>
</cp:coreProperties>
</file>

<file path=docProps/custom.xml><?xml version="1.0" encoding="utf-8"?>
<Properties xmlns="http://schemas.openxmlformats.org/officeDocument/2006/custom-properties" xmlns:vt="http://schemas.openxmlformats.org/officeDocument/2006/docPropsVTypes"/>
</file>