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rPr>
        <w:t xml:space="preserve">FLUIDES AIRLESSCO</w:t>
      </w:r>
    </w:p>
    <w:p>
      <w:r>
        <w:t xml:space="preserve">Les fluides Airlessco protègent vos équipements et assurent leur fonctionnement à des performances élevées. Les fluides Airlessco sont compatibles avec toutes les pompes de pulvérisateur airless. MagiCLEAN permet de retirer la peinture des pulvérisateurs, des tuyaux, des buses et des pistolets en toute sécurité. Pump Life protège les pompes de la corrosion et de la rouille pendant le stockage à court et long terme. L'aérosol Stay Clean empêche la peinture d'adhérer aux équipements.</w:t>
      </w:r>
    </w:p>
    <w:p>
      <w:pPr>
        <w:spacing w:before="250" w:after="250"/>
      </w:pPr>
      <w:r>
        <w:t xml:space="preserve">---</w:t>
      </w:r>
    </w:p>
    <w:p>
      <w:r>
        <w:drawing>
          <wp:inline distT="0" distB="0" distL="0" distR="0">
            <wp:extent cx="1828800" cy="1828800"/>
            <wp:effectExtent b="0" l="0" r="0" t="0"/>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KIT DE DÉMARRAGE MagiCLEAN</w:t>
            </w:r>
          </w:p>
        </w:tc>
      </w:tr>
      <w:tr>
        <w:tc>
          <w:p>
            <w:r>
              <w:rPr>
                <w:b/>
                <w:bCs/>
              </w:rPr>
              <w:t xml:space="preserve">DESCRIPTION :</w:t>
            </w:r>
          </w:p>
        </w:tc>
        <w:tc>
          <w:p>
            <w:r>
              <w:t xml:space="preserve">Permet de retirer la peinture des pulvérisateurs, des tuyaux, des buses et des pistolets en toute sécurité</w:t>
            </w:r>
          </w:p>
        </w:tc>
      </w:tr>
      <w:tr>
        <w:tc>
          <w:p>
            <w:r>
              <w:rPr>
                <w:b/>
                <w:bCs/>
              </w:rPr>
              <w:t xml:space="preserve">COMPREND :</w:t>
            </w:r>
          </w:p>
        </w:tc>
        <w:tc>
          <w:p>
            <w:r>
              <w:t xml:space="preserve">11,3 l (3 gal) de MagiCLEAN, corbeille de filtration et récupérateur de résidus</w:t>
            </w:r>
          </w:p>
        </w:tc>
      </w:tr>
      <w:tr>
        <w:tc>
          <w:p>
            <w:r>
              <w:rPr>
                <w:b/>
                <w:bCs/>
              </w:rPr>
              <w:t xml:space="preserve">NUMÉRO DE PIÈCE :</w:t>
            </w:r>
          </w:p>
        </w:tc>
        <w:tc>
          <w:p>
            <w:r>
              <w:t xml:space="preserve">865657</w:t>
            </w:r>
          </w:p>
        </w:tc>
      </w:tr>
      <w:tr>
        <w:tc>
          <w:p>
            <w:r>
              <w:rPr>
                <w:b/>
                <w:bCs/>
              </w:rPr>
              <w:t xml:space="preserve">DISPONIBILITÉ :</w:t>
            </w:r>
          </w:p>
        </w:tc>
        <w:tc>
          <w:p>
            <w:r>
              <w:t xml:space="preserve">Amérique du Nord, du Sud et Amérique centrale, Europe, Moyen-Orient, Afrique, Asie, Australie</w:t>
            </w:r>
          </w:p>
        </w:tc>
      </w:tr>
      <w:tr>
        <w:tc>
          <w:p>
            <w:r>
              <w:rPr>
                <w:b/>
                <w:bCs/>
              </w:rPr>
              <w:t xml:space="preserve">DESCRIPTION :</w:t>
            </w:r>
          </w:p>
        </w:tc>
        <w:tc>
          <w:p>
            <w:r>
              <w:t xml:space="preserve">Flacon de remplissage du kit de démarrage MagiCLEAN</w:t>
            </w:r>
          </w:p>
        </w:tc>
      </w:tr>
      <w:tr>
        <w:tc>
          <w:p>
            <w:r>
              <w:rPr>
                <w:b/>
                <w:bCs/>
              </w:rPr>
              <w:t xml:space="preserve">COMPREND :</w:t>
            </w:r>
          </w:p>
        </w:tc>
        <w:tc>
          <w:p>
            <w:r>
              <w:t xml:space="preserve">11,3 l (3 gal) de MagiCLEAN</w:t>
            </w:r>
          </w:p>
        </w:tc>
      </w:tr>
      <w:tr>
        <w:tc>
          <w:p>
            <w:r>
              <w:rPr>
                <w:b/>
                <w:bCs/>
              </w:rPr>
              <w:t xml:space="preserve">NUMÉRO DE PIÈCE :</w:t>
            </w:r>
          </w:p>
        </w:tc>
        <w:tc>
          <w:p>
            <w:r>
              <w:t xml:space="preserve">865656</w:t>
            </w:r>
          </w:p>
        </w:tc>
      </w:tr>
      <w:tr>
        <w:tc>
          <w:p>
            <w:r>
              <w:rPr>
                <w:b/>
                <w:bCs/>
              </w:rPr>
              <w:t xml:space="preserve">DISPONIBILITÉ :</w:t>
            </w:r>
          </w:p>
        </w:tc>
        <w:tc>
          <w:p>
            <w:r>
              <w:t xml:space="preserve">Amérique du Nord, du Sud et Amérique centrale, Europe, Moyen-Orient, Afrique, Asie, Australie</w:t>
            </w:r>
          </w:p>
        </w:tc>
      </w:tr>
    </w:tbl>
    <w:p/>
    <w:p>
      <w:pPr>
        <w:spacing w:before="250" w:after="250"/>
      </w:pPr>
      <w:r>
        <w:t xml:space="preserve">---</w:t>
      </w:r>
    </w:p>
    <w:p>
      <w:r>
        <w:drawing>
          <wp:inline distT="0" distB="0" distL="0" distR="0">
            <wp:extent cx="1828800" cy="1828800"/>
            <wp:effectExtent b="0" l="0" r="0" t="0"/>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PRODUIT DE CONSERVATION POUR POMPE</w:t>
            </w:r>
          </w:p>
        </w:tc>
      </w:tr>
      <w:tr>
        <w:tc>
          <w:p>
            <w:r>
              <w:rPr>
                <w:b/>
                <w:bCs/>
              </w:rPr>
              <w:t xml:space="preserve">DESCRIPTION :</w:t>
            </w:r>
          </w:p>
        </w:tc>
        <w:tc>
          <w:p>
            <w:r>
              <w:t xml:space="preserve">Prévient la corrosion interne ; lubrifie les billes de clapet pour éviter tout grippage</w:t>
            </w:r>
          </w:p>
        </w:tc>
      </w:tr>
      <w:tr>
        <w:tc>
          <w:p>
            <w:r>
              <w:rPr>
                <w:b/>
                <w:bCs/>
              </w:rPr>
              <w:t xml:space="preserve">NUMÉRO DE PIÈCE :</w:t>
            </w:r>
          </w:p>
        </w:tc>
        <w:tc>
          <w:p>
            <w:r>
              <w:t xml:space="preserve">865712 - Flacons de 48-25 ml</w:t>
            </w:r>
          </w:p>
        </w:tc>
      </w:tr>
      <w:tr>
        <w:tc>
          <w:p/>
        </w:tc>
        <w:tc>
          <w:p>
            <w:r>
              <w:t xml:space="preserve">865714 - 1,0 l (1 qt)</w:t>
            </w:r>
          </w:p>
        </w:tc>
      </w:tr>
      <w:tr>
        <w:tc>
          <w:p/>
        </w:tc>
        <w:tc>
          <w:p>
            <w:r>
              <w:t xml:space="preserve">865715 - 3,8 l (1 gal)</w:t>
            </w:r>
          </w:p>
        </w:tc>
      </w:tr>
      <w:tr>
        <w:tc>
          <w:p>
            <w:r>
              <w:rPr>
                <w:b/>
                <w:bCs/>
              </w:rPr>
              <w:t xml:space="preserve">DISPONIBILITÉ :</w:t>
            </w:r>
          </w:p>
        </w:tc>
        <w:tc>
          <w:p>
            <w:r>
              <w:t xml:space="preserve">Amérique du Nord, du Sud et Amérique centrale, Europe, Moyen-Orient, Afrique, Asie, Australie</w:t>
            </w:r>
          </w:p>
        </w:tc>
      </w:tr>
    </w:tbl>
    <w:p/>
    <w:p>
      <w:pPr>
        <w:spacing w:before="250" w:after="250"/>
      </w:pPr>
      <w:r>
        <w:t xml:space="preserve">---</w:t>
      </w:r>
    </w:p>
    <w:p>
      <w:r>
        <w:drawing>
          <wp:inline distT="0" distB="0" distL="0" distR="0">
            <wp:extent cx="1828800" cy="1828800"/>
            <wp:effectExtent b="0" l="0" r="0" t="0"/>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STAY CLEAN</w:t>
            </w:r>
          </w:p>
        </w:tc>
      </w:tr>
      <w:tr>
        <w:tc>
          <w:p>
            <w:r>
              <w:rPr>
                <w:b/>
                <w:bCs/>
              </w:rPr>
              <w:t xml:space="preserve">DESCRIPTION :</w:t>
            </w:r>
          </w:p>
        </w:tc>
        <w:tc>
          <w:p>
            <w:r>
              <w:t xml:space="preserve">Empêche la peinture d'adhérer au pulvérisateur</w:t>
            </w:r>
          </w:p>
        </w:tc>
      </w:tr>
      <w:tr>
        <w:tc>
          <w:p>
            <w:r>
              <w:rPr>
                <w:b/>
                <w:bCs/>
              </w:rPr>
              <w:t xml:space="preserve">NUMÉRO DE PIÈCE :</w:t>
            </w:r>
          </w:p>
        </w:tc>
        <w:tc>
          <w:p>
            <w:r>
              <w:t xml:space="preserve">865705 - 0,4 l (14 oz)</w:t>
            </w:r>
          </w:p>
        </w:tc>
      </w:tr>
      <w:tr>
        <w:tc>
          <w:p>
            <w:r>
              <w:rPr>
                <w:b/>
                <w:bCs/>
              </w:rPr>
              <w:t xml:space="preserve">DISPONIBILITÉ :</w:t>
            </w:r>
          </w:p>
        </w:tc>
        <w:tc>
          <w:p>
            <w:r>
              <w:t xml:space="preserve">Amérique du Nord, du Sud et Amérique centrale, Europe, Moyen-Orient, Afrique, Asie, Australie</w:t>
            </w:r>
          </w:p>
        </w:tc>
      </w:tr>
    </w:tbl>
    <w:p/>
    <w:p>
      <w:pPr>
        <w:spacing w:before="250" w:after="250"/>
      </w:pPr>
      <w:r>
        <w:t xml:space="preserve">---</w:t>
      </w:r>
    </w:p>
    <w:p>
      <w:r>
        <w:drawing>
          <wp:inline distT="0" distB="0" distL="0" distR="0">
            <wp:extent cx="1828800" cy="1828800"/>
            <wp:effectExtent b="0" l="0" r="0" t="0"/>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HUILE POUR PRESSE-ÉTOUPE</w:t>
            </w:r>
          </w:p>
        </w:tc>
      </w:tr>
      <w:tr>
        <w:tc>
          <w:p>
            <w:r>
              <w:rPr>
                <w:b/>
                <w:bCs/>
              </w:rPr>
              <w:t xml:space="preserve">DESCRIPTION :</w:t>
            </w:r>
          </w:p>
        </w:tc>
        <w:tc>
          <w:p>
            <w:r>
              <w:t xml:space="preserve">Permet d'éviter que la peinture ne sèche sur le piston, ce qui pourrait endommager le joint supérieur</w:t>
            </w:r>
          </w:p>
        </w:tc>
      </w:tr>
      <w:tr>
        <w:tc>
          <w:p>
            <w:r>
              <w:rPr>
                <w:b/>
                <w:bCs/>
              </w:rPr>
              <w:t xml:space="preserve">NUMÉRO DE PIÈCE :</w:t>
            </w:r>
          </w:p>
        </w:tc>
        <w:tc>
          <w:p>
            <w:r>
              <w:t xml:space="preserve">867670 - 0,2 l (6 oz)</w:t>
            </w:r>
          </w:p>
        </w:tc>
      </w:tr>
      <w:tr>
        <w:tc>
          <w:p/>
        </w:tc>
        <w:tc>
          <w:p>
            <w:r>
              <w:t xml:space="preserve">188392 - 1,0 l (1 qt)</w:t>
            </w:r>
          </w:p>
        </w:tc>
      </w:tr>
      <w:tr>
        <w:tc>
          <w:p>
            <w:r>
              <w:rPr>
                <w:b/>
                <w:bCs/>
              </w:rPr>
              <w:t xml:space="preserve">DISPONIBILITÉ :</w:t>
            </w:r>
          </w:p>
        </w:tc>
        <w:tc>
          <w:p>
            <w:r>
              <w:t xml:space="preserve">Amérique du Nord, du Sud et Amérique centrale, Europe, Moyen-Orient, Afrique, Asie, Australie</w:t>
            </w:r>
          </w:p>
        </w:tc>
      </w:tr>
      <w:tr>
        <w:tc>
          <w:p>
            <w:r>
              <w:rPr>
                <w:b/>
                <w:bCs/>
              </w:rPr>
              <w:t xml:space="preserve">RESSOURCES :</w:t>
            </w:r>
          </w:p>
        </w:tc>
        <w:tc>
          <w:p>
            <w:r>
              <w:t xml:space="preserve">Fiche de santé-sécurité (FTSS) – anglais Fiche de santé-sécurité (FTSS) – français Fiche de santé-sécurité (FTSS) – espagnol Fiche de santé-sécurité (FTSS) – norvégien</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FLUIDE HYDRAULIQUE</w:t>
            </w:r>
          </w:p>
        </w:tc>
      </w:tr>
      <w:tr>
        <w:tc>
          <w:p>
            <w:r>
              <w:rPr>
                <w:b/>
                <w:bCs/>
              </w:rPr>
              <w:t xml:space="preserve">DESCRIPTION :</w:t>
            </w:r>
          </w:p>
        </w:tc>
        <w:tc>
          <w:p>
            <w:r>
              <w:t xml:space="preserve">Fluide d'entraînement de l'équipement hydraulique</w:t>
            </w:r>
          </w:p>
        </w:tc>
      </w:tr>
      <w:tr>
        <w:tc>
          <w:p>
            <w:r>
              <w:rPr>
                <w:b/>
                <w:bCs/>
              </w:rPr>
              <w:t xml:space="preserve">NUMÉRO DE PIÈCE :</w:t>
            </w:r>
          </w:p>
        </w:tc>
        <w:tc>
          <w:p>
            <w:r>
              <w:t xml:space="preserve">207428 - 11,3 l (3 gal)</w:t>
            </w:r>
          </w:p>
        </w:tc>
      </w:tr>
      <w:tr>
        <w:tc>
          <w:p>
            <w:r>
              <w:rPr>
                <w:b/>
                <w:bCs/>
              </w:rPr>
              <w:t xml:space="preserve">DISPONIBILITÉ :</w:t>
            </w:r>
          </w:p>
        </w:tc>
        <w:tc>
          <w:p>
            <w:r>
              <w:t xml:space="preserve">Amérique du Nord, du Sud et Amérique centrale, Europe, Moyen-Orient, Afrique, Asie, Australie</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accessories-category</w:t>
            </w:r>
          </w:p>
        </w:tc>
      </w:tr>
      <w:tr>
        <w:tc>
          <w:p>
            <w:r>
              <w:t xml:space="preserve">title</w:t>
            </w:r>
          </w:p>
        </w:tc>
        <w:tc>
          <w:p>
            <w:pPr>
              <w:pStyle w:val="Heading2"/>
            </w:pPr>
            <w:r>
              <w:rPr>
                <w:b/>
                <w:bCs/>
              </w:rPr>
              <w:t xml:space="preserve">PLUS D’ACCESSOIRES</w:t>
            </w:r>
          </w:p>
        </w:tc>
      </w:tr>
      <w:tr>
        <w:tc>
          <w:p>
            <w:r>
              <w:t xml:space="preserve">types</w:t>
            </w:r>
          </w:p>
        </w:tc>
        <w:tc>
          <w:p>
            <w:pPr>
              <w:pStyle w:val="ListParagraph"/>
              <w:numPr>
                <w:ilvl w:val="0"/>
                <w:numId w:val="168"/>
              </w:numPr>
            </w:pPr>
            <w:r>
              <w:t xml:space="preserve">sprayguns</w:t>
            </w:r>
          </w:p>
          <w:p>
            <w:pPr>
              <w:pStyle w:val="ListParagraph"/>
              <w:numPr>
                <w:ilvl w:val="0"/>
                <w:numId w:val="168"/>
              </w:numPr>
            </w:pPr>
            <w:r>
              <w:t xml:space="preserve">hoses</w:t>
            </w:r>
          </w:p>
          <w:p>
            <w:pPr>
              <w:pStyle w:val="ListParagraph"/>
              <w:numPr>
                <w:ilvl w:val="0"/>
                <w:numId w:val="168"/>
              </w:numPr>
            </w:pPr>
            <w:r>
              <w:t xml:space="preserve">spraytips</w:t>
            </w:r>
          </w:p>
          <w:p>
            <w:pPr>
              <w:pStyle w:val="ListParagraph"/>
              <w:numPr>
                <w:ilvl w:val="0"/>
                <w:numId w:val="168"/>
              </w:numPr>
            </w:pPr>
            <w:r>
              <w:t xml:space="preserve">extensions</w:t>
            </w:r>
          </w:p>
          <w:p>
            <w:pPr>
              <w:pStyle w:val="ListParagraph"/>
              <w:numPr>
                <w:ilvl w:val="0"/>
                <w:numId w:val="168"/>
              </w:numPr>
            </w:pPr>
            <w:r>
              <w:t xml:space="preserve">fluids</w:t>
            </w:r>
          </w:p>
          <w:p>
            <w:pPr>
              <w:pStyle w:val="ListParagraph"/>
              <w:numPr>
                <w:ilvl w:val="0"/>
                <w:numId w:val="168"/>
              </w:numPr>
            </w:pPr>
            <w:r>
              <w:t xml:space="preserve">filters</w:t>
            </w:r>
          </w:p>
          <w:p>
            <w:pPr>
              <w:pStyle w:val="ListParagraph"/>
              <w:numPr>
                <w:ilvl w:val="0"/>
                <w:numId w:val="168"/>
              </w:numPr>
            </w:pPr>
            <w:r>
              <w:t xml:space="preserve">hvlp</w:t>
            </w:r>
          </w:p>
          <w:p>
            <w:pPr>
              <w:pStyle w:val="ListParagraph"/>
              <w:numPr>
                <w:ilvl w:val="0"/>
                <w:numId w:val="168"/>
              </w:numPr>
            </w:pPr>
            <w:r>
              <w:t xml:space="preserve">striping</w:t>
            </w:r>
          </w:p>
          <w:p>
            <w:pPr>
              <w:pStyle w:val="ListParagraph"/>
              <w:numPr>
                <w:ilvl w:val="0"/>
                <w:numId w:val="168"/>
              </w:numPr>
            </w:pPr>
            <w:r>
              <w:t xml:space="preserve">other</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Fluides Airlessco | Airlessco.com</w:t>
            </w:r>
          </w:p>
        </w:tc>
      </w:tr>
      <w:tr>
        <w:tc>
          <w:p>
            <w:r>
              <w:t xml:space="preserve">Description</w:t>
            </w:r>
          </w:p>
        </w:tc>
        <w:tc>
          <w:p>
            <w:r>
              <w:t xml:space="preserve">Équipement de pulvérisation airless professionnel Airlessco conçu pour offrir des performances exceptionnelles. Conception durable.</w:t>
            </w:r>
          </w:p>
        </w:tc>
      </w:tr>
      <w:tr>
        <w:tc>
          <w:p>
            <w:r>
              <w:t xml:space="preserve">Locale</w:t>
            </w:r>
          </w:p>
        </w:tc>
        <w:tc>
          <w:p>
            <w:r>
              <w:t xml:space="preserve">/emea/fr</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5"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166"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167"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65"/>
    <w:lvlOverride w:ilvl="0">
      <w:startOverride w:val="1"/>
    </w:lvlOverride>
  </w:num>
  <w:num w:numId="168">
    <w:abstractNumId w:val="16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64b88542971adb401b2b62b7334c8d66ca21ca1b.jpeg"/><Relationship Id="rId7" Type="http://schemas.openxmlformats.org/officeDocument/2006/relationships/image" Target="media/694d96d513223722f7b88386fb2304160eb54853.jpeg"/><Relationship Id="rId8" Type="http://schemas.openxmlformats.org/officeDocument/2006/relationships/image" Target="media/b1effd2847e9511a8838e1d37f10a22c42b38498.jpeg"/><Relationship Id="rId9" Type="http://schemas.openxmlformats.org/officeDocument/2006/relationships/image" Target="media/38859388f963052823ea0162f82b8dad55af9c56.jpe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2023-02-20T19:37:34.214Z</dcterms:created>
  <dcterms:modified xsi:type="dcterms:W3CDTF">2023-02-20T19:37:34.214Z</dcterms:modified>
</cp:coreProperties>
</file>

<file path=docProps/custom.xml><?xml version="1.0" encoding="utf-8"?>
<Properties xmlns="http://schemas.openxmlformats.org/officeDocument/2006/custom-properties" xmlns:vt="http://schemas.openxmlformats.org/officeDocument/2006/docPropsVTypes"/>
</file>