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PRZEDŁUŻKI AIRLESSCO</w:t>
      </w:r>
    </w:p>
    <w:p>
      <w:r>
        <w:t xml:space="preserve">Narzędzia o większym zasięgu doskonale nadają się do użycia w obszarach trudno dostępnych, takich jak szpalety, klatki schodowe czy sufity ze sklepieniem. Pozwalają zwiększyć zasięg i wydajność natryskiwania bez drabiny i rusztowania. Dysze do natrysku hydrodynamicznego i przedłużki można mocować bezpośrednio do pistoletu hydrodynamicznego, aby ich użyć do natryskiwania sufitów, występów i podestów.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Przedłużenia dysz z gwintem „G”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865609 – 15,2 cm (6")</w:t>
            </w:r>
          </w:p>
        </w:tc>
      </w:tr>
      <w:tr>
        <w:tc>
          <w:p/>
        </w:tc>
        <w:tc>
          <w:p>
            <w:r>
              <w:t xml:space="preserve">865602 – 30,5 cm (12")</w:t>
            </w:r>
          </w:p>
        </w:tc>
      </w:tr>
      <w:tr>
        <w:tc>
          <w:p/>
        </w:tc>
        <w:tc>
          <w:p>
            <w:r>
              <w:t xml:space="preserve">865603 – 45,7 cm (18")</w:t>
            </w:r>
          </w:p>
        </w:tc>
      </w:tr>
      <w:tr>
        <w:tc>
          <w:p/>
        </w:tc>
        <w:tc>
          <w:p>
            <w:r>
              <w:t xml:space="preserve">865604 – 61,0 cm (24")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865606 – 91,4 cm (36")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Przedłużki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d74eb2b5cdd2961543df26507e3e3919203e2c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2023-02-20T18:43:06.355Z</dcterms:created>
  <dcterms:modified xsi:type="dcterms:W3CDTF">2023-02-20T18:43:06.355Z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