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D0A4" w14:textId="77777777" w:rsidR="00C441C6" w:rsidRDefault="00D97B3B">
      <w:pPr>
        <w:spacing w:before="1200"/>
        <w:jc w:val="center"/>
      </w:pPr>
      <w:r>
        <w:rPr>
          <w:b/>
          <w:color w:val="1F3A5F"/>
          <w:sz w:val="48"/>
        </w:rPr>
        <w:t>SG Citizen Financial Assistant</w:t>
      </w:r>
    </w:p>
    <w:p w14:paraId="5FB1C478" w14:textId="77777777" w:rsidR="00C441C6" w:rsidRDefault="00D97B3B">
      <w:pPr>
        <w:jc w:val="center"/>
      </w:pPr>
      <w:r>
        <w:rPr>
          <w:i/>
          <w:sz w:val="26"/>
        </w:rPr>
        <w:t>A Multimodal Retrieval-Augmented Generation Agent for</w:t>
      </w:r>
      <w:r>
        <w:rPr>
          <w:i/>
          <w:sz w:val="26"/>
        </w:rPr>
        <w:br/>
        <w:t>Singapore Government Subsidy Schemes and Tax Reliefs</w:t>
      </w:r>
    </w:p>
    <w:p w14:paraId="41CB25D5" w14:textId="77777777" w:rsidR="00C441C6" w:rsidRDefault="00D97B3B">
      <w:pPr>
        <w:spacing w:before="400"/>
        <w:jc w:val="center"/>
      </w:pPr>
      <w:r>
        <w:rPr>
          <w:sz w:val="22"/>
        </w:rPr>
        <w:t>Mini-Project Report — Build and Evaluate a Practical RAG Assistant</w:t>
      </w:r>
    </w:p>
    <w:p w14:paraId="29773EFC" w14:textId="58AA1D13" w:rsidR="00C441C6" w:rsidRDefault="00D97B3B">
      <w:pPr>
        <w:spacing w:before="600"/>
        <w:jc w:val="center"/>
      </w:pPr>
      <w:r>
        <w:t>Group: Group 2</w:t>
        <w:br/>
        <w:t>Date: 30 July 2026</w:t>
        <w:br/>
        <w:t>Domain: Public-Sector Information &amp; Service Guides</w:t>
      </w:r>
      <w:r w:rsidR="00DD1239"/>
      <w:r/>
      <w:r/>
      <w:r/>
      <w:r/>
    </w:p>
    <w:p w14:paraId="5EB824E2" w14:textId="77777777" w:rsidR="00C441C6" w:rsidRDefault="00D97B3B">
      <w:r>
        <w:br w:type="page"/>
      </w:r>
    </w:p>
    <w:p w14:paraId="596BDC0D" w14:textId="77777777" w:rsidR="00C441C6" w:rsidRDefault="00D97B3B">
      <w:pPr>
        <w:pStyle w:val="Heading1"/>
        <w:spacing w:before="280" w:after="80"/>
      </w:pPr>
      <w:r>
        <w:rPr>
          <w:color w:val="1F3A5F"/>
        </w:rPr>
        <w:lastRenderedPageBreak/>
        <w:t>1. Project Objective and Selected Domain</w:t>
      </w:r>
    </w:p>
    <w:p w14:paraId="19E5B26C" w14:textId="77777777" w:rsidR="00C441C6" w:rsidRDefault="00D97B3B">
      <w:r>
        <w:t>This project builds a Retrieval-Augmented Generation (RAG) agent — the SG Citizen Financial Assistant — for the “Public-sector information and service guides” domain, focused on Singapore government subsidy schemes and personal income-tax reliefs. The assistant answers questions such as “am I eligible for X” or “how much is Y” for a Singaporean resident, or someone assisting one (e.g. a social worker or family member), grounding every answer in official scheme documents and showing the source it came from.</w:t>
      </w:r>
    </w:p>
    <w:p w14:paraId="1BFA8897" w14:textId="77777777" w:rsidR="00C441C6" w:rsidRDefault="00D97B3B">
      <w:r>
        <w:t>The system supports two operating modes: (1) a General Q&amp;A mode that answers direct factual questions about scheme rules and amounts, and (2) a Personal Eligibility Shortlist mode that takes a structured or free-text resident profile and returns a per-scheme eligibility assessment with reasoning and citations. The project's evidence-based question, per the assignment brief, is: how effectively can the system retrieve the right evidence and produce a grounded, attributable answer for this domain? Sections 7–</w:t>
      </w:r>
      <w:r>
        <w:t>9 address this directly through a labelled evaluation set and a baseline-vs-improved retrieval comparison.</w:t>
      </w:r>
    </w:p>
    <w:p w14:paraId="7556DAE6" w14:textId="77777777" w:rsidR="00C441C6" w:rsidRDefault="00D97B3B">
      <w:pPr>
        <w:pStyle w:val="Heading1"/>
        <w:spacing w:before="280" w:after="80"/>
      </w:pPr>
      <w:r>
        <w:rPr>
          <w:color w:val="1F3A5F"/>
        </w:rPr>
        <w:t>2. Description of the Knowledge Base</w:t>
      </w:r>
    </w:p>
    <w:p w14:paraId="2018A5CA" w14:textId="77777777" w:rsidR="00C441C6" w:rsidRDefault="00D97B3B">
      <w:r>
        <w:t>The knowledge base contains 385 source documents indexed into 1,809 chunks in a persistent ChromaDB collection (sg_financial_assistant; counts taken from data/chroma/metadata.jsonl at the 30 July 2026 evaluation rebuild). It spans three modalities — exceeding the assignment's minimum of two — covering official Singapore government scheme pages, tax-relief guidance, and supporting apprenticeship/programme materials:</w:t>
      </w:r>
    </w:p>
    <w:tbl>
      <w:tblPr>
        <w:tblStyle w:val="TableGrid"/>
        <w:tblW w:w="0" w:type="auto"/>
        <w:jc w:val="center"/>
        <w:tblLook w:val="04A0" w:firstRow="1" w:lastRow="0" w:firstColumn="1" w:lastColumn="0" w:noHBand="0" w:noVBand="1"/>
      </w:tblPr>
      <w:tblGrid>
        <w:gridCol w:w="1440"/>
        <w:gridCol w:w="1152"/>
        <w:gridCol w:w="6336"/>
      </w:tblGrid>
      <w:tr w:rsidR="00C441C6" w14:paraId="3155BDAC" w14:textId="77777777">
        <w:trPr>
          <w:jc w:val="center"/>
        </w:trPr>
        <w:tc>
          <w:tcPr>
            <w:tcW w:w="1440" w:type="dxa"/>
            <w:shd w:val="clear" w:color="auto" w:fill="1F3A5F"/>
          </w:tcPr>
          <w:p w14:paraId="6C9CF026" w14:textId="77777777" w:rsidR="00C441C6" w:rsidRDefault="00D97B3B">
            <w:r>
              <w:rPr>
                <w:b/>
                <w:color w:val="FFFFFF"/>
                <w:sz w:val="19"/>
              </w:rPr>
              <w:t>Modality</w:t>
            </w:r>
          </w:p>
        </w:tc>
        <w:tc>
          <w:tcPr>
            <w:tcW w:w="1152" w:type="dxa"/>
            <w:shd w:val="clear" w:color="auto" w:fill="1F3A5F"/>
          </w:tcPr>
          <w:p w14:paraId="5BB5E3BB" w14:textId="77777777" w:rsidR="00C441C6" w:rsidRDefault="00D97B3B">
            <w:r>
              <w:rPr>
                <w:b/>
                <w:color w:val="FFFFFF"/>
                <w:sz w:val="19"/>
              </w:rPr>
              <w:t>Chunks</w:t>
            </w:r>
          </w:p>
        </w:tc>
        <w:tc>
          <w:tcPr>
            <w:tcW w:w="6336" w:type="dxa"/>
            <w:shd w:val="clear" w:color="auto" w:fill="1F3A5F"/>
          </w:tcPr>
          <w:p w14:paraId="6BEE5592" w14:textId="77777777" w:rsidR="00C441C6" w:rsidRDefault="00D97B3B">
            <w:r>
              <w:rPr>
                <w:b/>
                <w:color w:val="FFFFFF"/>
                <w:sz w:val="19"/>
              </w:rPr>
              <w:t>Extraction method</w:t>
            </w:r>
          </w:p>
        </w:tc>
      </w:tr>
      <w:tr w:rsidR="00C441C6" w14:paraId="11842437" w14:textId="77777777">
        <w:trPr>
          <w:jc w:val="center"/>
        </w:trPr>
        <w:tc>
          <w:tcPr>
            <w:tcW w:w="1440" w:type="dxa"/>
          </w:tcPr>
          <w:p w14:paraId="415A3E3C" w14:textId="77777777" w:rsidR="00C441C6" w:rsidRDefault="00D97B3B">
            <w:r>
              <w:rPr>
                <w:sz w:val="19"/>
              </w:rPr>
              <w:t>Text</w:t>
            </w:r>
          </w:p>
        </w:tc>
        <w:tc>
          <w:tcPr>
            <w:tcW w:w="1152" w:type="dxa"/>
          </w:tcPr>
          <w:p w14:paraId="3E1259F7" w14:textId="77777777" w:rsidR="00C441C6" w:rsidRDefault="00D97B3B">
            <w:r>
              <w:rPr>
                <w:sz w:val="19"/>
              </w:rPr>
              <w:t>1,768</w:t>
            </w:r>
          </w:p>
        </w:tc>
        <w:tc>
          <w:tcPr>
            <w:tcW w:w="6336" w:type="dxa"/>
          </w:tcPr>
          <w:p w14:paraId="61122E39" w14:textId="77777777" w:rsidR="00C441C6" w:rsidRDefault="00D97B3B">
            <w:r>
              <w:rPr>
                <w:sz w:val="19"/>
              </w:rPr>
              <w:t>PDF/HTML scheme pages and FAQs, extracted via pypdf / pdfplumber</w:t>
            </w:r>
          </w:p>
        </w:tc>
      </w:tr>
      <w:tr w:rsidR="00C441C6" w14:paraId="2268D599" w14:textId="77777777">
        <w:trPr>
          <w:jc w:val="center"/>
        </w:trPr>
        <w:tc>
          <w:tcPr>
            <w:tcW w:w="1440" w:type="dxa"/>
          </w:tcPr>
          <w:p w14:paraId="156E0DDA" w14:textId="77777777" w:rsidR="00C441C6" w:rsidRDefault="00D97B3B">
            <w:r>
              <w:rPr>
                <w:sz w:val="19"/>
              </w:rPr>
              <w:t>Image</w:t>
            </w:r>
          </w:p>
        </w:tc>
        <w:tc>
          <w:tcPr>
            <w:tcW w:w="1152" w:type="dxa"/>
          </w:tcPr>
          <w:p w14:paraId="3A161CB1" w14:textId="77777777" w:rsidR="00C441C6" w:rsidRDefault="00D97B3B">
            <w:r>
              <w:rPr>
                <w:sz w:val="19"/>
              </w:rPr>
              <w:t>34</w:t>
            </w:r>
          </w:p>
        </w:tc>
        <w:tc>
          <w:tcPr>
            <w:tcW w:w="6336" w:type="dxa"/>
          </w:tcPr>
          <w:p w14:paraId="7D578A7D" w14:textId="77777777" w:rsidR="00C441C6" w:rsidRDefault="00D97B3B">
            <w:r>
              <w:rPr>
                <w:sz w:val="19"/>
              </w:rPr>
              <w:t>Eligibility infographics and tables, OCR'd via pytesseract</w:t>
            </w:r>
          </w:p>
        </w:tc>
      </w:tr>
      <w:tr w:rsidR="00C441C6" w14:paraId="5E016264" w14:textId="77777777">
        <w:trPr>
          <w:jc w:val="center"/>
        </w:trPr>
        <w:tc>
          <w:tcPr>
            <w:tcW w:w="1440" w:type="dxa"/>
          </w:tcPr>
          <w:p w14:paraId="2AD70F8C" w14:textId="77777777" w:rsidR="00C441C6" w:rsidRDefault="00D97B3B">
            <w:r>
              <w:rPr>
                <w:sz w:val="19"/>
              </w:rPr>
              <w:t>Video</w:t>
            </w:r>
          </w:p>
        </w:tc>
        <w:tc>
          <w:tcPr>
            <w:tcW w:w="1152" w:type="dxa"/>
          </w:tcPr>
          <w:p w14:paraId="177C33D8" w14:textId="77777777" w:rsidR="00C441C6" w:rsidRDefault="00D97B3B">
            <w:r>
              <w:rPr>
                <w:sz w:val="19"/>
              </w:rPr>
              <w:t>7</w:t>
            </w:r>
          </w:p>
        </w:tc>
        <w:tc>
          <w:tcPr>
            <w:tcW w:w="6336" w:type="dxa"/>
          </w:tcPr>
          <w:p w14:paraId="12DDB1F9" w14:textId="77777777" w:rsidR="00C441C6" w:rsidRDefault="00D97B3B">
            <w:r>
              <w:rPr>
                <w:sz w:val="19"/>
              </w:rPr>
              <w:t>Scheme explainer videos, transcribed via Gemini multimodal transcription (cached on disk)</w:t>
            </w:r>
          </w:p>
        </w:tc>
      </w:tr>
    </w:tbl>
    <w:p w14:paraId="7628745C" w14:textId="77777777" w:rsidR="00C441C6" w:rsidRDefault="00C441C6">
      <w:pPr>
        <w:spacing w:after="40"/>
      </w:pPr>
    </w:p>
    <w:p w14:paraId="0904EC0E" w14:textId="77777777" w:rsidR="00C441C6" w:rsidRDefault="00D97B3B">
      <w:r>
        <w:t>Chunks are grouped into six categories used for retrieval diversification: Healthcare (900), Seniors (339), Lower-income/employment (300), Housing (249), Household/cost-of-living (15) and Family (6). Representative schemes in the corpus include CDC Vouchers, the Silver Support Scheme, Workfare Income Supplement, ComCare (SMTA/Interim/LTA), Baby Bonus/Child Development Account, SkillsFuture Credit, CPF Cash Top-up Relief and the Matched Retirement Savings Scheme, HDB grants and the Silver Housing Bonus, Medi</w:t>
      </w:r>
      <w:r>
        <w:t>Shield Life/CHAS, GST Vouchers, the Career Conversion Programme, and SNAIC/AIAP apprenticeship material.</w:t>
      </w:r>
    </w:p>
    <w:p w14:paraId="1CE087AA" w14:textId="77777777" w:rsidR="00C441C6" w:rsidRDefault="00D97B3B">
      <w:r>
        <w:t>Every indexed chunk carries structured metadata — doc_id, scheme_name, display_name, category, modality, source_file, section_or_page, source_url and thumbnail_path — so every answer can be traced back to a specific source document and section. Only official, publicly published Singapore government content is used; no personal, confidential or copyrighted third-party material is included, per the project's data-governance requirement.</w:t>
      </w:r>
    </w:p>
    <w:p w14:paraId="6CC14F89" w14:textId="77777777" w:rsidR="00C441C6" w:rsidRDefault="00D97B3B">
      <w:pPr>
        <w:pStyle w:val="Heading1"/>
        <w:spacing w:before="280" w:after="80"/>
      </w:pPr>
      <w:r>
        <w:rPr>
          <w:color w:val="1F3A5F"/>
        </w:rPr>
        <w:t>3. RAG Architecture</w:t>
      </w:r>
    </w:p>
    <w:p w14:paraId="4F151F3F" w14:textId="77777777" w:rsidR="00C441C6" w:rsidRDefault="00D97B3B">
      <w:pPr>
        <w:spacing w:after="120"/>
        <w:ind w:left="288"/>
      </w:pPr>
      <w:r>
        <w:rPr>
          <w:rFonts w:ascii="Consolas" w:hAnsi="Consolas"/>
          <w:sz w:val="18"/>
        </w:rPr>
        <w:t>Browser (static HTML/CSS/JS, no build step)</w:t>
      </w:r>
      <w:r>
        <w:br/>
      </w:r>
      <w:r>
        <w:rPr>
          <w:rFonts w:ascii="Consolas" w:hAnsi="Consolas"/>
          <w:sz w:val="18"/>
        </w:rPr>
        <w:t xml:space="preserve">  |-- General Q&amp;A mode      --&gt; POST /api/query</w:t>
      </w:r>
      <w:r>
        <w:br/>
      </w:r>
      <w:r>
        <w:rPr>
          <w:rFonts w:ascii="Consolas" w:hAnsi="Consolas"/>
          <w:sz w:val="18"/>
        </w:rPr>
        <w:t xml:space="preserve">  \-- Personal Profile mode --&gt; POST /api/profile-query</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FastAPI backend (backend/main.py)</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RagIndex (generation/pipeline.py): chroma_collection,</w:t>
      </w:r>
      <w:r>
        <w:br/>
      </w:r>
      <w:r>
        <w:rPr>
          <w:rFonts w:ascii="Consolas" w:hAnsi="Consolas"/>
          <w:sz w:val="18"/>
        </w:rPr>
        <w:t xml:space="preserve">  bm25_index, chunk_records, embedder, chunk_id_to_index</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Pluggable LLM client (Gemini / Groq / OpenAI)</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JSON response: { answer | shortlist, sources[], abstained, diagnostics }</w:t>
      </w:r>
    </w:p>
    <w:p w14:paraId="785CA40D" w14:textId="77777777" w:rsidR="00C441C6" w:rsidRDefault="00D97B3B">
      <w:r>
        <w:t>A minimal Gradio app (backend/gradio_app.py) reuses the identical retrieval and generation modules as a demo-day fallback UI. Beyond simple retrieve-then-generate, the pipeline includes several light agent/heuristic components:</w:t>
      </w:r>
    </w:p>
    <w:p w14:paraId="150E83B5" w14:textId="77777777" w:rsidR="00C441C6" w:rsidRDefault="00D97B3B">
      <w:pPr>
        <w:pStyle w:val="ListBullet"/>
        <w:spacing w:after="40"/>
      </w:pPr>
      <w:r>
        <w:rPr>
          <w:b/>
        </w:rPr>
        <w:t xml:space="preserve">Query-rewrite agent — </w:t>
      </w:r>
      <w:r>
        <w:t>restates colloquial questions into official scheme vocabulary and proposes facet sub-queries before retrieval; fails open to the raw question on error or timeout.</w:t>
      </w:r>
    </w:p>
    <w:p w14:paraId="68DF6954" w14:textId="77777777" w:rsidR="00C441C6" w:rsidRDefault="00D97B3B">
      <w:pPr>
        <w:pStyle w:val="ListBullet"/>
        <w:spacing w:after="40"/>
      </w:pPr>
      <w:r>
        <w:rPr>
          <w:b/>
        </w:rPr>
        <w:t>Intent router (light heuristic) — a keyword-count classifier decides whether a free-text question is a plain scheme-fact question or a personal-situation question, routing the latter into the eligibility-shortlist path. This is not a learned planner; it is a deliberate, inspectable heuristic.</w:t>
      </w:r>
      <w:r/>
    </w:p>
    <w:p w14:paraId="5DD8ACA8" w14:textId="77777777" w:rsidR="00C441C6" w:rsidRDefault="00D97B3B">
      <w:pPr>
        <w:pStyle w:val="ListBullet"/>
        <w:spacing w:after="40"/>
      </w:pPr>
      <w:r>
        <w:rPr>
          <w:b/>
        </w:rPr>
        <w:t xml:space="preserve">Profile-extraction agent — </w:t>
      </w:r>
      <w:r>
        <w:t>infers a structured resident profile (citizenship, age, household income band, housing, employment, life-stage tags) from free text, with a regex fallback if the LLM call fails.</w:t>
      </w:r>
    </w:p>
    <w:p w14:paraId="5C648D82" w14:textId="77777777" w:rsidR="00C441C6" w:rsidRDefault="00D97B3B">
      <w:pPr>
        <w:pStyle w:val="ListBullet"/>
        <w:spacing w:after="40"/>
      </w:pPr>
      <w:r>
        <w:rPr>
          <w:b/>
        </w:rPr>
        <w:t xml:space="preserve">Eligibility-shortlist assessor — </w:t>
      </w:r>
      <w:r>
        <w:t>produces a per-scheme JSON assessment with per-condition met/not_met/not_checked states; critically, the eligible/unclear/not_assessed bucket is derived deterministically in code from these condition states, never taken from the model's own prose.</w:t>
      </w:r>
    </w:p>
    <w:p w14:paraId="1895A452" w14:textId="77777777" w:rsidR="00C441C6" w:rsidRDefault="00D97B3B">
      <w:pPr>
        <w:pStyle w:val="ListBullet"/>
        <w:spacing w:after="40"/>
      </w:pPr>
      <w:r>
        <w:rPr>
          <w:b/>
        </w:rPr>
        <w:t xml:space="preserve">Citation validator — </w:t>
      </w:r>
      <w:r>
        <w:t>cross-checks every cited scheme label against the actually-retrieved chunk set; unresolved citations are dropped and logged, never shown to the resident as an error.</w:t>
      </w:r>
    </w:p>
    <w:p w14:paraId="3FCDAD70" w14:textId="77777777" w:rsidR="00C441C6" w:rsidRDefault="00D97B3B">
      <w:pPr>
        <w:pStyle w:val="ListBullet"/>
        <w:spacing w:after="40"/>
      </w:pPr>
      <w:r>
        <w:rPr>
          <w:b/>
        </w:rPr>
        <w:t xml:space="preserve">Safety guardrail — </w:t>
      </w:r>
      <w:r>
        <w:t>Singapore NRIC/FIN-shaped identifiers are regex-redacted before any query reaches an LLM, including the rewriter.</w:t>
      </w:r>
    </w:p>
    <w:p w14:paraId="50837EBF" w14:textId="77777777" w:rsidR="00C441C6" w:rsidRDefault="00D97B3B">
      <w:pPr>
        <w:pStyle w:val="ListBullet"/>
        <w:spacing w:after="40"/>
      </w:pPr>
      <w:r>
        <w:rPr>
          <w:b/>
        </w:rPr>
        <w:t xml:space="preserve">Coverage-completion safety nets — </w:t>
      </w:r>
      <w:r>
        <w:t>force-append retrieved-but-omitted schemes when a profile has a strong signal (e.g. an unemployed profile must surface SkillsFuture/ComCare/Workfare if those chunks were retrieved), and surface retrieved-but-unassessed schemes rather than returning an empty shortlist.</w:t>
      </w:r>
    </w:p>
    <w:p>
      <w:pPr>
        <w:pStyle w:val="ListBullet"/>
      </w:pPr>
      <w:r>
        <w:t>In-session chat history — General Q&amp;A and Personal Eligibility keep a short browser-tab conversation (sessionStorage, capped turns) plus a sticky profile; follow-ups such as “how much is that?” are rewritten into standalone retrieval queries. History is used only for reference resolution and is never treated as evidence for eligibility claims.</w:t>
      </w:r>
    </w:p>
    <w:p>
      <w:pPr>
        <w:pStyle w:val="ListBullet"/>
      </w:pPr>
      <w:r>
        <w:t>Freeform ↔ structured shortlist alignment — personal-situation free text in General Q&amp;A infers the same profile bands as the Personal Eligibility form, runs the same shortlist engine (profile-band retrieval seeds, unemployed → SkillsFuture/ComCare coverage nets), and can pre-fill the form ticks so both UIs return a consistent resident-facing shortlist.</w:t>
      </w:r>
    </w:p>
    <w:p w14:paraId="5FA25627" w14:textId="77777777" w:rsidR="00C441C6" w:rsidRDefault="00D97B3B">
      <w:pPr>
        <w:pStyle w:val="Heading1"/>
        <w:spacing w:before="280" w:after="80"/>
      </w:pPr>
      <w:r>
        <w:rPr>
          <w:color w:val="1F3A5F"/>
        </w:rPr>
        <w:t>4. Document Processing and Chunking Strategy</w:t>
      </w:r>
    </w:p>
    <w:p w14:paraId="71CFFE2A" w14:textId="77777777" w:rsidR="00C441C6" w:rsidRDefault="00D97B3B">
      <w:pPr>
        <w:pStyle w:val="ListBullet"/>
        <w:spacing w:after="40"/>
      </w:pPr>
      <w:r>
        <w:rPr>
          <w:b/>
        </w:rPr>
        <w:t xml:space="preserve">Discovery &amp; cleaning — </w:t>
      </w:r>
      <w:r>
        <w:t>documents are discovered recursively under data/raw/{text,images,video}; archived-original subfolders and un-produced video-transcript placeholders are explicitly excluded so a scheme can never be “cited” from a stub reading “transcript will be produced at index time.” A shared cleaning routine (whitespace normalisation, de-hyphenation, boilerplate stripping) is applied uniformly across all three modalities.</w:t>
      </w:r>
    </w:p>
    <w:p w14:paraId="535695F4" w14:textId="77777777" w:rsidR="00C441C6" w:rsidRDefault="00D97B3B">
      <w:pPr>
        <w:pStyle w:val="ListBullet"/>
        <w:spacing w:after="40"/>
      </w:pPr>
      <w:r>
        <w:rPr>
          <w:b/>
        </w:rPr>
        <w:t xml:space="preserve">Category &amp; doc_id assignment — </w:t>
      </w:r>
      <w:r>
        <w:t>each document's category is derived from its source folder (with a filename-keyword fallback), and doc_ids are disambiguated with escalating collisions handling (parent folder → modality → source-path hash), since several schemes reuse generic filenames such as “Schemes-Terms-Conditions.pdf”.</w:t>
      </w:r>
    </w:p>
    <w:p w14:paraId="3BC3A5DB" w14:textId="77777777" w:rsidR="00C441C6" w:rsidRDefault="00D97B3B">
      <w:pPr>
        <w:pStyle w:val="ListBullet"/>
        <w:spacing w:after="40"/>
      </w:pPr>
      <w:r>
        <w:rPr>
          <w:b/>
        </w:rPr>
        <w:t xml:space="preserve">Two-stage, structure-aware chunking — </w:t>
      </w:r>
      <w:r>
        <w:t>text is first split on paragraph/heading boundaries, then whole paragraphs are packed together up to a 350-word cap (CHUNK_SIZE_WORDS) without ever splitting mid-paragraph, so a chunk never severs an eligibility condition list mid-clause. Only a single paragraph that itself exceeds 350 words falls back to fixed-length chunking, with 50-word overlap (CHUNK_OVERLAP_WORDS) to preserve context across that boundary.</w:t>
      </w:r>
    </w:p>
    <w:p w14:paraId="5BBE91D5" w14:textId="77777777" w:rsidR="00C441C6" w:rsidRDefault="00D97B3B">
      <w:pPr>
        <w:pStyle w:val="ListBullet"/>
        <w:spacing w:after="40"/>
      </w:pPr>
      <w:r>
        <w:rPr>
          <w:b/>
        </w:rPr>
        <w:t xml:space="preserve">Why this fits the domain — </w:t>
      </w:r>
      <w:r>
        <w:t>government scheme pages are short, structured passages (eligibility criteria, payout amounts) that read best whole. Packing by paragraph rather than adding overlap everywhere follows the same reasoning as Anthropic's contextual-retrieval pattern: the paragraph boundary is already the natural semantic break, so overlap is reserved for the rare oversized paragraph rather than added indiscriminately.</w:t>
      </w:r>
    </w:p>
    <w:p w14:paraId="38ED78F6" w14:textId="77777777" w:rsidR="00C441C6" w:rsidRDefault="00D97B3B">
      <w:pPr>
        <w:pStyle w:val="ListBullet"/>
        <w:spacing w:after="40"/>
      </w:pPr>
      <w:r>
        <w:rPr>
          <w:b/>
        </w:rPr>
        <w:t xml:space="preserve">Real page citation — </w:t>
      </w:r>
      <w:r>
        <w:t>each chunk's word-offset range is mapped back to per-page spans, producing citation labels like “p.4” or “pp.4–5” instead of a generic “Full document” label whenever page text is available.</w:t>
      </w:r>
    </w:p>
    <w:p w14:paraId="09465461" w14:textId="77777777" w:rsidR="00C441C6" w:rsidRDefault="00D97B3B">
      <w:pPr>
        <w:pStyle w:val="ListBullet"/>
        <w:spacing w:after="40"/>
      </w:pPr>
      <w:r>
        <w:rPr>
          <w:b/>
        </w:rPr>
        <w:t xml:space="preserve">Contextual chunking (default on) — </w:t>
      </w:r>
      <w:r>
        <w:t>before embedding, an LLM prepends a short (≤25-word) sentence describing where a chunk sits in its source document (e.g. “This chunk is from the Eligibility section of the CHAS Green Scheme page”); this augmented text is embedded, while the resident-facing chunk text is left untouched. It deliberately uses a separate LLM provider from the live-query provider so bulk ingestion cannot exhaust the same daily quota the live demo needs (the team hit Groq's 100K-token/day cap once during development); a per-chunk</w:t>
      </w:r>
      <w:r>
        <w:t xml:space="preserve"> fail-open plus a 5-failure circuit breaker prevents a bad run from retrying against an already-exhausted quota.</w:t>
      </w:r>
    </w:p>
    <w:p w14:paraId="6A1FCD00" w14:textId="77777777" w:rsidR="00C441C6" w:rsidRDefault="00D97B3B">
      <w:pPr>
        <w:pStyle w:val="Heading1"/>
        <w:spacing w:before="280" w:after="80"/>
      </w:pPr>
      <w:r>
        <w:rPr>
          <w:color w:val="1F3A5F"/>
        </w:rPr>
        <w:t>5. Embedding and Retrieval Approach</w:t>
      </w:r>
    </w:p>
    <w:p w14:paraId="610868F1" w14:textId="77777777" w:rsidR="00C441C6" w:rsidRDefault="00D97B3B">
      <w:pPr>
        <w:pStyle w:val="ListBullet"/>
        <w:spacing w:after="40"/>
      </w:pPr>
      <w:r>
        <w:rPr>
          <w:b/>
        </w:rPr>
        <w:t xml:space="preserve">Embedding model — </w:t>
      </w:r>
      <w:r>
        <w:t>BAAI/bge-m3 dense embeddings (via sentence-transformers, GPU auto-detected with CPU fallback for a portable index), replacing an earlier all-MiniLM-L6-v2 baseline.</w:t>
      </w:r>
    </w:p>
    <w:p w14:paraId="1AAECDA1" w14:textId="77777777" w:rsidR="00C441C6" w:rsidRDefault="00D97B3B">
      <w:pPr>
        <w:pStyle w:val="ListBullet"/>
        <w:spacing w:after="40"/>
      </w:pPr>
      <w:r>
        <w:rPr>
          <w:b/>
        </w:rPr>
        <w:t xml:space="preserve">Vector store — </w:t>
      </w:r>
      <w:r>
        <w:t>ChromaDB with a persistent client, replacing an original FAISS design.</w:t>
      </w:r>
    </w:p>
    <w:p w14:paraId="3F13586E" w14:textId="77777777" w:rsidR="00C441C6" w:rsidRDefault="00D97B3B">
      <w:pPr>
        <w:pStyle w:val="ListBullet"/>
        <w:spacing w:after="40"/>
      </w:pPr>
      <w:r>
        <w:rPr>
          <w:b/>
        </w:rPr>
        <w:t xml:space="preserve">Baseline retrieval — </w:t>
      </w:r>
      <w:r>
        <w:t>dense-only Chroma similarity search.</w:t>
      </w:r>
    </w:p>
    <w:p w14:paraId="64343D9D" w14:textId="77777777" w:rsidR="00C441C6" w:rsidRDefault="00D97B3B">
      <w:pPr>
        <w:pStyle w:val="ListBullet"/>
        <w:spacing w:after="40"/>
      </w:pPr>
      <w:r>
        <w:rPr>
          <w:b/>
        </w:rPr>
        <w:lastRenderedPageBreak/>
        <w:t xml:space="preserve">Improved retrieval (the required experiment) — </w:t>
      </w:r>
      <w:r>
        <w:t>BM25 keyword search fused with dense results via Reciprocal Rank Fusion (RRF, k=60), keyed by chunk_id string rather than positional index.</w:t>
      </w:r>
    </w:p>
    <w:tbl>
      <w:tblPr>
        <w:tblStyle w:val="TableGrid"/>
        <w:tblW w:w="0" w:type="auto"/>
        <w:jc w:val="center"/>
        <w:tblLook w:val="04A0" w:firstRow="1" w:lastRow="0" w:firstColumn="1" w:lastColumn="0" w:noHBand="0" w:noVBand="1"/>
      </w:tblPr>
      <w:tblGrid>
        <w:gridCol w:w="3312"/>
        <w:gridCol w:w="3024"/>
        <w:gridCol w:w="2592"/>
      </w:tblGrid>
      <w:tr w:rsidR="00C441C6" w14:paraId="3ABF965C" w14:textId="77777777">
        <w:trPr>
          <w:jc w:val="center"/>
        </w:trPr>
        <w:tc>
          <w:tcPr>
            <w:tcW w:w="3312" w:type="dxa"/>
            <w:shd w:val="clear" w:color="auto" w:fill="1F3A5F"/>
          </w:tcPr>
          <w:p w14:paraId="432C9F14" w14:textId="77777777" w:rsidR="00C441C6" w:rsidRDefault="00D97B3B">
            <w:r>
              <w:rPr>
                <w:b/>
                <w:color w:val="FFFFFF"/>
                <w:sz w:val="19"/>
              </w:rPr>
              <w:t>Parameter</w:t>
            </w:r>
          </w:p>
        </w:tc>
        <w:tc>
          <w:tcPr>
            <w:tcW w:w="3024" w:type="dxa"/>
            <w:shd w:val="clear" w:color="auto" w:fill="1F3A5F"/>
          </w:tcPr>
          <w:p w14:paraId="21DFA373" w14:textId="77777777" w:rsidR="00C441C6" w:rsidRDefault="00D97B3B">
            <w:r>
              <w:rPr>
                <w:b/>
                <w:color w:val="FFFFFF"/>
                <w:sz w:val="19"/>
              </w:rPr>
              <w:t>Value</w:t>
            </w:r>
          </w:p>
        </w:tc>
        <w:tc>
          <w:tcPr>
            <w:tcW w:w="2592" w:type="dxa"/>
            <w:shd w:val="clear" w:color="auto" w:fill="1F3A5F"/>
          </w:tcPr>
          <w:p w14:paraId="1B8E3CCF" w14:textId="77777777" w:rsidR="00C441C6" w:rsidRDefault="00D97B3B">
            <w:r>
              <w:rPr>
                <w:b/>
                <w:color w:val="FFFFFF"/>
                <w:sz w:val="19"/>
              </w:rPr>
              <w:t>Configurable via</w:t>
            </w:r>
          </w:p>
        </w:tc>
      </w:tr>
      <w:tr w:rsidR="00C441C6" w14:paraId="6577C604" w14:textId="77777777">
        <w:trPr>
          <w:jc w:val="center"/>
        </w:trPr>
        <w:tc>
          <w:tcPr>
            <w:tcW w:w="3312" w:type="dxa"/>
          </w:tcPr>
          <w:p w14:paraId="62F813FF" w14:textId="77777777" w:rsidR="00C441C6" w:rsidRDefault="00D97B3B">
            <w:r>
              <w:rPr>
                <w:sz w:val="19"/>
              </w:rPr>
              <w:t>top_k</w:t>
            </w:r>
          </w:p>
        </w:tc>
        <w:tc>
          <w:tcPr>
            <w:tcW w:w="3024" w:type="dxa"/>
          </w:tcPr>
          <w:p w14:paraId="62240FE7" w14:textId="77777777" w:rsidR="00C441C6" w:rsidRDefault="00D97B3B">
            <w:r>
              <w:rPr>
                <w:sz w:val="19"/>
              </w:rPr>
              <w:t>5</w:t>
            </w:r>
          </w:p>
        </w:tc>
        <w:tc>
          <w:tcPr>
            <w:tcW w:w="2592" w:type="dxa"/>
          </w:tcPr>
          <w:p w14:paraId="1C82EAD6" w14:textId="77777777" w:rsidR="00C441C6" w:rsidRDefault="00D97B3B">
            <w:r>
              <w:rPr>
                <w:sz w:val="19"/>
              </w:rPr>
              <w:t>TOP_K</w:t>
            </w:r>
          </w:p>
        </w:tc>
      </w:tr>
      <w:tr w:rsidR="00C441C6" w14:paraId="01380584" w14:textId="77777777">
        <w:trPr>
          <w:jc w:val="center"/>
        </w:trPr>
        <w:tc>
          <w:tcPr>
            <w:tcW w:w="3312" w:type="dxa"/>
          </w:tcPr>
          <w:p w14:paraId="3EF48316" w14:textId="77777777" w:rsidR="00C441C6" w:rsidRDefault="00D97B3B">
            <w:r>
              <w:rPr>
                <w:sz w:val="19"/>
              </w:rPr>
              <w:t>Similarity threshold (abstention gate)</w:t>
            </w:r>
          </w:p>
        </w:tc>
        <w:tc>
          <w:tcPr>
            <w:tcW w:w="3024" w:type="dxa"/>
          </w:tcPr>
          <w:p w14:paraId="4555B198" w14:textId="77777777" w:rsidR="00C441C6" w:rsidRDefault="00D97B3B">
            <w:r>
              <w:rPr>
                <w:sz w:val="19"/>
              </w:rPr>
              <w:t>0.35 (raw dense cosine)</w:t>
            </w:r>
          </w:p>
        </w:tc>
        <w:tc>
          <w:tcPr>
            <w:tcW w:w="2592" w:type="dxa"/>
          </w:tcPr>
          <w:p w14:paraId="038ADC74" w14:textId="77777777" w:rsidR="00C441C6" w:rsidRDefault="00D97B3B">
            <w:r>
              <w:rPr>
                <w:sz w:val="19"/>
              </w:rPr>
              <w:t>SIMILARITY_THRESHOLD</w:t>
            </w:r>
          </w:p>
        </w:tc>
      </w:tr>
      <w:tr w:rsidR="00C441C6" w14:paraId="54D7BE17" w14:textId="77777777">
        <w:trPr>
          <w:jc w:val="center"/>
        </w:trPr>
        <w:tc>
          <w:tcPr>
            <w:tcW w:w="3312" w:type="dxa"/>
          </w:tcPr>
          <w:p w14:paraId="5D385558" w14:textId="77777777" w:rsidR="00C441C6" w:rsidRDefault="00D97B3B">
            <w:r>
              <w:rPr>
                <w:sz w:val="19"/>
              </w:rPr>
              <w:t>Chunk size / overlap</w:t>
            </w:r>
          </w:p>
        </w:tc>
        <w:tc>
          <w:tcPr>
            <w:tcW w:w="3024" w:type="dxa"/>
          </w:tcPr>
          <w:p w14:paraId="552EFA3E" w14:textId="77777777" w:rsidR="00C441C6" w:rsidRDefault="00D97B3B">
            <w:r>
              <w:rPr>
                <w:sz w:val="19"/>
              </w:rPr>
              <w:t>350 / 50 words</w:t>
            </w:r>
          </w:p>
        </w:tc>
        <w:tc>
          <w:tcPr>
            <w:tcW w:w="2592" w:type="dxa"/>
          </w:tcPr>
          <w:p w14:paraId="064309B3" w14:textId="77777777" w:rsidR="00C441C6" w:rsidRDefault="00D97B3B">
            <w:r>
              <w:rPr>
                <w:sz w:val="19"/>
              </w:rPr>
              <w:t>CHUNK_SIZE_WORDS / CHUNK_OVERLAP_WORDS (reingestion required)</w:t>
            </w:r>
          </w:p>
        </w:tc>
      </w:tr>
      <w:tr w:rsidR="00C441C6" w14:paraId="5D9182B4" w14:textId="77777777">
        <w:trPr>
          <w:jc w:val="center"/>
        </w:trPr>
        <w:tc>
          <w:tcPr>
            <w:tcW w:w="3312" w:type="dxa"/>
          </w:tcPr>
          <w:p w14:paraId="73A45CAE" w14:textId="77777777" w:rsidR="00C441C6" w:rsidRDefault="00D97B3B">
            <w:r>
              <w:rPr>
                <w:sz w:val="19"/>
              </w:rPr>
              <w:t>Retrieval mode</w:t>
            </w:r>
          </w:p>
        </w:tc>
        <w:tc>
          <w:tcPr>
            <w:tcW w:w="3024" w:type="dxa"/>
          </w:tcPr>
          <w:p w14:paraId="038487BC" w14:textId="77777777" w:rsidR="00C441C6" w:rsidRDefault="00D97B3B">
            <w:r>
              <w:rPr>
                <w:sz w:val="19"/>
              </w:rPr>
              <w:t>dense | hybrid</w:t>
            </w:r>
          </w:p>
        </w:tc>
        <w:tc>
          <w:tcPr>
            <w:tcW w:w="2592" w:type="dxa"/>
          </w:tcPr>
          <w:p w14:paraId="0E57E8FA" w14:textId="77777777" w:rsidR="00C441C6" w:rsidRDefault="00D97B3B">
            <w:r>
              <w:rPr>
                <w:sz w:val="19"/>
              </w:rPr>
              <w:t>RETRIEVAL_MODE</w:t>
            </w:r>
          </w:p>
        </w:tc>
      </w:tr>
      <w:tr w:rsidR="00C441C6" w14:paraId="4427708E" w14:textId="77777777">
        <w:trPr>
          <w:jc w:val="center"/>
        </w:trPr>
        <w:tc>
          <w:tcPr>
            <w:tcW w:w="3312" w:type="dxa"/>
          </w:tcPr>
          <w:p w14:paraId="325022F6" w14:textId="77777777" w:rsidR="00C441C6" w:rsidRDefault="00D97B3B">
            <w:r>
              <w:rPr>
                <w:sz w:val="19"/>
              </w:rPr>
              <w:t>Query rewrite</w:t>
            </w:r>
          </w:p>
        </w:tc>
        <w:tc>
          <w:tcPr>
            <w:tcW w:w="3024" w:type="dxa"/>
          </w:tcPr>
          <w:p w14:paraId="4759FC9A" w14:textId="77777777" w:rsidR="00C441C6" w:rsidRDefault="00D97B3B">
            <w:r>
              <w:rPr>
                <w:sz w:val="19"/>
              </w:rPr>
              <w:t>on/off</w:t>
            </w:r>
          </w:p>
        </w:tc>
        <w:tc>
          <w:tcPr>
            <w:tcW w:w="2592" w:type="dxa"/>
          </w:tcPr>
          <w:p w14:paraId="623C737D" w14:textId="77777777" w:rsidR="00C441C6" w:rsidRDefault="00D97B3B">
            <w:r>
              <w:rPr>
                <w:sz w:val="19"/>
              </w:rPr>
              <w:t>ENABLE_QUERY_REWRITE</w:t>
            </w:r>
          </w:p>
        </w:tc>
      </w:tr>
    </w:tbl>
    <w:p w14:paraId="3815D1E0" w14:textId="77777777" w:rsidR="00C441C6" w:rsidRDefault="00C441C6">
      <w:pPr>
        <w:spacing w:after="40"/>
      </w:pPr>
    </w:p>
    <w:p w14:paraId="3821537F" w14:textId="77777777" w:rsidR="00C441C6" w:rsidRDefault="00D97B3B">
      <w:r>
        <w:t>The system uses a two-layer abstention gate: a pre-LLM check skips generation entirely if the best dense cosine similarity among retrieved chunks falls below the similarity threshold, and an in-prompt instruction tells the model to abstain even after passing that gate if the passages don't actually answer the question. The gate always scores on raw dense cosine — never the RRF score, which sits on an incompatible scale — which means hybrid retrieval cannot “rescue” an abstained query by construction; any be</w:t>
      </w:r>
      <w:r>
        <w:t>nefit from hybrid must appear in Hit Rate, Recall or MRR rather than in abstention behaviour. Personal-profile retrieval additionally re-ranks by inferred preferred category and deduplicates near-duplicate scheme variants (e.g. collapsing ComCare SMTA/Interim/LTA into one bucket) so a single programme cannot fill the whole top-k.</w:t>
      </w:r>
    </w:p>
    <w:p w14:paraId="718CEFCC" w14:textId="77777777" w:rsidR="00C441C6" w:rsidRDefault="00D97B3B">
      <w:pPr>
        <w:pStyle w:val="Heading1"/>
        <w:spacing w:before="280" w:after="80"/>
      </w:pPr>
      <w:r>
        <w:rPr>
          <w:color w:val="1F3A5F"/>
        </w:rPr>
        <w:t>6. Prompt and Answer-Generation Approach</w:t>
      </w:r>
    </w:p>
    <w:p w14:paraId="46D85BF2" w14:textId="77777777" w:rsidR="00C441C6" w:rsidRDefault="00D97B3B">
      <w:pPr>
        <w:pStyle w:val="ListBullet"/>
        <w:spacing w:after="40"/>
      </w:pPr>
      <w:r>
        <w:rPr>
          <w:b/>
        </w:rPr>
        <w:t xml:space="preserve">General Q&amp;A system prompt — </w:t>
      </w:r>
      <w:r>
        <w:t>instructs the model to answer using only the supplied context passages, cite every claim as [scheme_name, section_or_page], use the exact fallback sentence when evidence is insufficient, cover every facet of a multi-facet question, and treat prior chat turns as reference-resolution context only — never as evidence.</w:t>
      </w:r>
    </w:p>
    <w:p w14:paraId="754C300C" w14:textId="77777777" w:rsidR="00C441C6" w:rsidRDefault="00D97B3B">
      <w:pPr>
        <w:pStyle w:val="ListBullet"/>
        <w:spacing w:after="40"/>
      </w:pPr>
      <w:r>
        <w:rPr>
          <w:b/>
        </w:rPr>
        <w:t xml:space="preserve">Personal Profile Shortlist system prompt — </w:t>
      </w:r>
      <w:r>
        <w:t>forces a raw JSON array output (scheme, reason — one sentence under 25 words, amount only if stated verbatim in evidence, a list of per-condition met/not_met/not_checked states, a “changer” sentence, and citation_chunk_ids restricted to an explicit allow-list); it is explicitly instructed never to assert “you are approved” or “you will receive.”</w:t>
      </w:r>
    </w:p>
    <w:p w14:paraId="06DC3419" w14:textId="77777777" w:rsidR="00C441C6" w:rsidRDefault="00D97B3B">
      <w:pPr>
        <w:pStyle w:val="ListBullet"/>
        <w:spacing w:after="40"/>
      </w:pPr>
      <w:r>
        <w:rPr>
          <w:b/>
        </w:rPr>
        <w:t xml:space="preserve">Fallback text (exact) — </w:t>
      </w:r>
      <w:r>
        <w:t>“The available knowledge base does not contain enough information to answer this question.”</w:t>
      </w:r>
    </w:p>
    <w:p w14:paraId="48C760BF" w14:textId="77777777" w:rsidR="00C441C6" w:rsidRDefault="00D97B3B">
      <w:pPr>
        <w:pStyle w:val="ListBullet"/>
        <w:spacing w:after="40"/>
      </w:pPr>
      <w:r>
        <w:rPr>
          <w:b/>
        </w:rPr>
        <w:t xml:space="preserve">Chat history — </w:t>
      </w:r>
      <w:r>
        <w:t>the last 4 user/assistant turns are included (truncated to 600 characters each) for reference resolution only.</w:t>
      </w:r>
    </w:p>
    <w:p w14:paraId="23D76C09" w14:textId="77777777" w:rsidR="00C441C6" w:rsidRDefault="00D97B3B">
      <w:pPr>
        <w:pStyle w:val="ListBullet"/>
        <w:spacing w:after="40"/>
      </w:pPr>
      <w:r>
        <w:rPr>
          <w:b/>
        </w:rPr>
        <w:t xml:space="preserve">LLM providers — </w:t>
      </w:r>
      <w:r>
        <w:t>a pluggable interface supports Gemini (gemini-flash-latest, default), Groq (llama-3.3-70b-versatile) and OpenAI (gpt-5.4-mini), selected via an environment variable. The evaluation reported in Sections 7–9 used OpenAI's gpt-5.4-mini for both the dense and hybrid arms, isolating the retrieval-mode comparison from LLM variance.</w:t>
      </w:r>
    </w:p>
    <w:p w14:paraId="1A585749" w14:textId="77777777" w:rsidR="00C441C6" w:rsidRDefault="00D97B3B">
      <w:pPr>
        <w:pStyle w:val="ListBullet"/>
        <w:spacing w:after="40"/>
      </w:pPr>
      <w:r>
        <w:rPr>
          <w:b/>
        </w:rPr>
        <w:t xml:space="preserve">Post-generation validation — </w:t>
      </w:r>
      <w:r>
        <w:t>cited scheme labels are regex-extracted and checked against the retrieved set; any mismatch is logged as a developer-facing warning only, never surfaced to the resident as an error.</w:t>
      </w:r>
    </w:p>
    <w:p w14:paraId="4A193FF8" w14:textId="77777777" w:rsidR="00C441C6" w:rsidRDefault="00D97B3B">
      <w:r>
        <w:br w:type="page"/>
      </w:r>
    </w:p>
    <w:p w14:paraId="45B7ECA1" w14:textId="77777777" w:rsidR="00C441C6" w:rsidRDefault="00D97B3B">
      <w:pPr>
        <w:pStyle w:val="Heading1"/>
        <w:spacing w:before="280" w:after="80"/>
      </w:pPr>
      <w:r>
        <w:rPr>
          <w:color w:val="1F3A5F"/>
        </w:rPr>
        <w:lastRenderedPageBreak/>
        <w:t>7. Evaluation Dataset and Metrics</w:t>
      </w:r>
    </w:p>
    <w:p w14:paraId="3BFDA6AB" w14:textId="77777777" w:rsidR="00C441C6" w:rsidRDefault="00D97B3B">
      <w:r>
        <w:t>The test set (evaluation/test_set.json) contains 15 questions covering every required category: straightforward factual (F1–F3), paraphrase/semantic-matching (P1–P3), multi-document (M1–M2), unanswerable (U1–U2, two questions), an intentionally ambiguous pair (A1–A2), and three personal-profile scenarios (PR1–PR3). Eight of the fifteen questions were hand-labelled with a ground-truth chunk for retrieval scoring; the remaining questions (mostly unanswerable/ambiguous/personal-profile cases, which have no sin</w:t>
      </w:r>
      <w:r>
        <w:t>gle ground-truth passage) are scored on answer quality only.</w:t>
      </w:r>
    </w:p>
    <w:p w14:paraId="0CEFC138" w14:textId="77777777" w:rsidR="00C441C6" w:rsidRDefault="00D97B3B">
      <w:r>
        <w:t>For every question the evaluation records: the expected answer or answer criteria, the expected source document or passage, the retrieved evidence, the generated answer, a hit/miss retrieval result (where applicable), and a short observation explaining the outcome.</w:t>
      </w:r>
    </w:p>
    <w:p w14:paraId="64D445AD" w14:textId="77777777" w:rsidR="00C441C6" w:rsidRDefault="00D97B3B">
      <w:pPr>
        <w:pStyle w:val="Heading2"/>
        <w:spacing w:before="160" w:after="40"/>
      </w:pPr>
      <w:r>
        <w:rPr>
          <w:color w:val="2E2E2E"/>
          <w:sz w:val="23"/>
        </w:rPr>
        <w:t>Retrieval measures (3, over the 8 labelled questions)</w:t>
      </w:r>
    </w:p>
    <w:p w14:paraId="3E81F0DD" w14:textId="77777777" w:rsidR="00C441C6" w:rsidRDefault="00D97B3B">
      <w:pPr>
        <w:pStyle w:val="ListBullet"/>
        <w:spacing w:after="40"/>
      </w:pPr>
      <w:r>
        <w:t>Hit Rate — fraction of questions where the labelled ground-truth chunk appeared anywhere in the top-5 retrieved chunks.</w:t>
      </w:r>
    </w:p>
    <w:p w14:paraId="1A022129" w14:textId="77777777" w:rsidR="00C441C6" w:rsidRDefault="00D97B3B">
      <w:pPr>
        <w:pStyle w:val="ListBullet"/>
        <w:spacing w:after="40"/>
      </w:pPr>
      <w:r>
        <w:t>Recall@5 — fraction of relevant ground-truth chunk(s) recovered within the top-5.</w:t>
      </w:r>
    </w:p>
    <w:p w14:paraId="5EBED153" w14:textId="77777777" w:rsidR="00C441C6" w:rsidRDefault="00D97B3B">
      <w:pPr>
        <w:pStyle w:val="ListBullet"/>
        <w:spacing w:after="40"/>
      </w:pPr>
      <w:r>
        <w:t>Mean Reciprocal Rank (MRR) — average of 1/rank of the first correct chunk, rewarding earlier placement.</w:t>
      </w:r>
    </w:p>
    <w:p w14:paraId="5971362A" w14:textId="77777777" w:rsidR="00C441C6" w:rsidRDefault="00D97B3B">
      <w:pPr>
        <w:pStyle w:val="Heading2"/>
        <w:spacing w:before="160" w:after="40"/>
      </w:pPr>
      <w:r>
        <w:rPr>
          <w:color w:val="2E2E2E"/>
          <w:sz w:val="23"/>
        </w:rPr>
        <w:t>Answer-quality measure</w:t>
      </w:r>
    </w:p>
    <w:p w14:paraId="6737E15E" w14:textId="77777777" w:rsidR="00C441C6" w:rsidRDefault="00D97B3B">
      <w:r>
        <w:t>A structured 0–2 human rubric (0 = fail, 1 = partial, 2 = good) across three dimensions — Correctness, Faithfulness and Citation accuracy — filled by reviewing each generated answer against its expected_answer_criteria.</w:t>
      </w:r>
    </w:p>
    <w:p w14:paraId="65CDB381" w14:textId="77777777" w:rsidR="00C441C6" w:rsidRDefault="00D97B3B">
      <w:r>
        <w:rPr>
          <w:i/>
          <w:sz w:val="19"/>
        </w:rPr>
        <w:t>Run configuration: LLM gpt-5.4-mini via OpenAIClient; embedding model BAAI/bge-m3; top_k = 5; query rewrite off (to isolate the dense-vs-hybrid retrieval comparison); index of 385 documents / 1,809 chunks (same metadata.jsonl counts as §2); run date 30 July 2026.</w:t>
      </w:r>
    </w:p>
    <w:p w14:paraId="1F6C4C55" w14:textId="77777777" w:rsidR="00C441C6" w:rsidRDefault="00D97B3B">
      <w:pPr>
        <w:pStyle w:val="Heading1"/>
        <w:spacing w:before="280" w:after="80"/>
      </w:pPr>
      <w:r>
        <w:rPr>
          <w:color w:val="1F3A5F"/>
        </w:rPr>
        <w:t>8. Baseline Results (Dense Retrieval)</w:t>
      </w:r>
    </w:p>
    <w:tbl>
      <w:tblPr>
        <w:tblStyle w:val="TableGrid"/>
        <w:tblW w:w="0" w:type="auto"/>
        <w:jc w:val="center"/>
        <w:tblLook w:val="04A0" w:firstRow="1" w:lastRow="0" w:firstColumn="1" w:lastColumn="0" w:noHBand="0" w:noVBand="1"/>
      </w:tblPr>
      <w:tblGrid>
        <w:gridCol w:w="4320"/>
        <w:gridCol w:w="3600"/>
      </w:tblGrid>
      <w:tr w:rsidR="00C441C6" w14:paraId="14A1855B" w14:textId="77777777">
        <w:trPr>
          <w:jc w:val="center"/>
        </w:trPr>
        <w:tc>
          <w:tcPr>
            <w:tcW w:w="4320" w:type="dxa"/>
            <w:shd w:val="clear" w:color="auto" w:fill="1F3A5F"/>
          </w:tcPr>
          <w:p w14:paraId="18B92502" w14:textId="77777777" w:rsidR="00C441C6" w:rsidRDefault="00D97B3B">
            <w:r>
              <w:rPr>
                <w:b/>
                <w:color w:val="FFFFFF"/>
                <w:sz w:val="19"/>
              </w:rPr>
              <w:t>Metric</w:t>
            </w:r>
          </w:p>
        </w:tc>
        <w:tc>
          <w:tcPr>
            <w:tcW w:w="3600" w:type="dxa"/>
            <w:shd w:val="clear" w:color="auto" w:fill="1F3A5F"/>
          </w:tcPr>
          <w:p w14:paraId="11CD862F" w14:textId="77777777" w:rsidR="00C441C6" w:rsidRDefault="00D97B3B">
            <w:r>
              <w:rPr>
                <w:b/>
                <w:color w:val="FFFFFF"/>
                <w:sz w:val="19"/>
              </w:rPr>
              <w:t>Dense (baseline)</w:t>
            </w:r>
          </w:p>
        </w:tc>
      </w:tr>
      <w:tr w:rsidR="00C441C6" w14:paraId="32053579" w14:textId="77777777">
        <w:trPr>
          <w:jc w:val="center"/>
        </w:trPr>
        <w:tc>
          <w:tcPr>
            <w:tcW w:w="4320" w:type="dxa"/>
          </w:tcPr>
          <w:p w14:paraId="1385A417" w14:textId="77777777" w:rsidR="00C441C6" w:rsidRDefault="00D97B3B">
            <w:r>
              <w:rPr>
                <w:sz w:val="19"/>
              </w:rPr>
              <w:t>Hit rate</w:t>
            </w:r>
          </w:p>
        </w:tc>
        <w:tc>
          <w:tcPr>
            <w:tcW w:w="3600" w:type="dxa"/>
          </w:tcPr>
          <w:p w14:paraId="08F4CA65" w14:textId="77777777" w:rsidR="00C441C6" w:rsidRDefault="00D97B3B">
            <w:r>
              <w:rPr>
                <w:sz w:val="19"/>
              </w:rPr>
              <w:t>25.0%</w:t>
            </w:r>
          </w:p>
        </w:tc>
      </w:tr>
      <w:tr w:rsidR="00C441C6" w14:paraId="3CDEA524" w14:textId="77777777">
        <w:trPr>
          <w:jc w:val="center"/>
        </w:trPr>
        <w:tc>
          <w:tcPr>
            <w:tcW w:w="4320" w:type="dxa"/>
          </w:tcPr>
          <w:p w14:paraId="0CE11FF4" w14:textId="77777777" w:rsidR="00C441C6" w:rsidRDefault="00D97B3B">
            <w:r>
              <w:rPr>
                <w:sz w:val="19"/>
              </w:rPr>
              <w:t>Recall@5</w:t>
            </w:r>
          </w:p>
        </w:tc>
        <w:tc>
          <w:tcPr>
            <w:tcW w:w="3600" w:type="dxa"/>
          </w:tcPr>
          <w:p w14:paraId="33938193" w14:textId="77777777" w:rsidR="00C441C6" w:rsidRDefault="00D97B3B">
            <w:r>
              <w:rPr>
                <w:sz w:val="19"/>
              </w:rPr>
              <w:t>18.8%</w:t>
            </w:r>
          </w:p>
        </w:tc>
      </w:tr>
      <w:tr w:rsidR="00C441C6" w14:paraId="6F646EE2" w14:textId="77777777">
        <w:trPr>
          <w:jc w:val="center"/>
        </w:trPr>
        <w:tc>
          <w:tcPr>
            <w:tcW w:w="4320" w:type="dxa"/>
          </w:tcPr>
          <w:p w14:paraId="44722D85" w14:textId="77777777" w:rsidR="00C441C6" w:rsidRDefault="00D97B3B">
            <w:r>
              <w:rPr>
                <w:sz w:val="19"/>
              </w:rPr>
              <w:t>MRR</w:t>
            </w:r>
          </w:p>
        </w:tc>
        <w:tc>
          <w:tcPr>
            <w:tcW w:w="3600" w:type="dxa"/>
          </w:tcPr>
          <w:p w14:paraId="6B49202E" w14:textId="77777777" w:rsidR="00C441C6" w:rsidRDefault="00D97B3B">
            <w:r>
              <w:rPr>
                <w:sz w:val="19"/>
              </w:rPr>
              <w:t>0.250</w:t>
            </w:r>
          </w:p>
        </w:tc>
      </w:tr>
      <w:tr w:rsidR="00C441C6" w14:paraId="347DD265" w14:textId="77777777">
        <w:trPr>
          <w:jc w:val="center"/>
        </w:trPr>
        <w:tc>
          <w:tcPr>
            <w:tcW w:w="4320" w:type="dxa"/>
          </w:tcPr>
          <w:p w14:paraId="7AFEBCC6" w14:textId="77777777" w:rsidR="00C441C6" w:rsidRDefault="00D97B3B">
            <w:r>
              <w:rPr>
                <w:sz w:val="19"/>
              </w:rPr>
              <w:t>Correctness (mean, 0–2)</w:t>
            </w:r>
          </w:p>
        </w:tc>
        <w:tc>
          <w:tcPr>
            <w:tcW w:w="3600" w:type="dxa"/>
          </w:tcPr>
          <w:p w14:paraId="199CEEB2" w14:textId="77777777" w:rsidR="00C441C6" w:rsidRDefault="00D97B3B">
            <w:r>
              <w:rPr>
                <w:sz w:val="19"/>
              </w:rPr>
              <w:t>1.27</w:t>
            </w:r>
          </w:p>
        </w:tc>
      </w:tr>
      <w:tr w:rsidR="00C441C6" w14:paraId="36B2E02A" w14:textId="77777777">
        <w:trPr>
          <w:jc w:val="center"/>
        </w:trPr>
        <w:tc>
          <w:tcPr>
            <w:tcW w:w="4320" w:type="dxa"/>
          </w:tcPr>
          <w:p w14:paraId="59FD3B37" w14:textId="77777777" w:rsidR="00C441C6" w:rsidRDefault="00D97B3B">
            <w:r>
              <w:rPr>
                <w:sz w:val="19"/>
              </w:rPr>
              <w:t>Faithfulness (mean, 0–2)</w:t>
            </w:r>
          </w:p>
        </w:tc>
        <w:tc>
          <w:tcPr>
            <w:tcW w:w="3600" w:type="dxa"/>
          </w:tcPr>
          <w:p w14:paraId="62D5949B" w14:textId="77777777" w:rsidR="00C441C6" w:rsidRDefault="00D97B3B">
            <w:r>
              <w:rPr>
                <w:sz w:val="19"/>
              </w:rPr>
              <w:t>1.73</w:t>
            </w:r>
          </w:p>
        </w:tc>
      </w:tr>
      <w:tr w:rsidR="00C441C6" w14:paraId="70C0AA09" w14:textId="77777777">
        <w:trPr>
          <w:jc w:val="center"/>
        </w:trPr>
        <w:tc>
          <w:tcPr>
            <w:tcW w:w="4320" w:type="dxa"/>
          </w:tcPr>
          <w:p w14:paraId="074E8DA4" w14:textId="77777777" w:rsidR="00C441C6" w:rsidRDefault="00D97B3B">
            <w:r>
              <w:rPr>
                <w:sz w:val="19"/>
              </w:rPr>
              <w:t>Citation accuracy (mean, 0–2)</w:t>
            </w:r>
          </w:p>
        </w:tc>
        <w:tc>
          <w:tcPr>
            <w:tcW w:w="3600" w:type="dxa"/>
          </w:tcPr>
          <w:p w14:paraId="6B9C9302" w14:textId="77777777" w:rsidR="00C441C6" w:rsidRDefault="00D97B3B">
            <w:r>
              <w:rPr>
                <w:sz w:val="19"/>
              </w:rPr>
              <w:t>1.80</w:t>
            </w:r>
          </w:p>
        </w:tc>
      </w:tr>
    </w:tbl>
    <w:p w14:paraId="2A481448" w14:textId="77777777" w:rsidR="00C441C6" w:rsidRDefault="00C441C6">
      <w:pPr>
        <w:spacing w:after="40"/>
      </w:pPr>
    </w:p>
    <w:p w14:paraId="2A3ECF1F" w14:textId="77777777" w:rsidR="00C441C6" w:rsidRDefault="00D97B3B">
      <w:r>
        <w:rPr>
          <w:sz w:val="19"/>
        </w:rPr>
        <w:t>Dense retrieval was conservative and safe: it correctly abstained on both unanswerable questions (U1, U2), the ambiguous question A1, and one factual question whose ground-truth passage (F2, the $80,000 tax-relief cap) fell below its similarity threshold — all rated 2/2/2 on the rubric for appropriately declining to answer. On the second ambiguous question (A2, “Am I eligible for Workfare?”), dense also abstained but received only partial correctness credit (1/2/2): the criteria called for noting that eligi</w:t>
      </w:r>
      <w:r>
        <w:rPr>
          <w:sz w:val="19"/>
        </w:rPr>
        <w:t>bility depends on age, income and employment type, which a full non-answer does not convey, whereas hybrid answered with those exact caveats and scored 2/2/2. Its low Hit Rate and Recall@5 partly reflect a strict scoring artifact: a top-5 hit on the correct document but not the exact hand-picked chunk still counts as a miss (n = 8 labelled questions, often a single ground-truth chunk each), so results should be read directionally rather than as precise benchmarks.</w:t>
      </w:r>
    </w:p>
    <w:p w14:paraId="469C9E3F" w14:textId="77777777" w:rsidR="00C441C6" w:rsidRDefault="00D97B3B">
      <w:pPr>
        <w:pStyle w:val="Heading1"/>
        <w:spacing w:before="280" w:after="80"/>
      </w:pPr>
      <w:r>
        <w:rPr>
          <w:color w:val="1F3A5F"/>
        </w:rPr>
        <w:t>9. Improvement Experiment: Dense → Hybrid Retrieval</w:t>
      </w:r>
    </w:p>
    <w:p w14:paraId="016FA365" w14:textId="77777777" w:rsidR="00C441C6" w:rsidRDefault="00D97B3B">
      <w:pPr>
        <w:pStyle w:val="Heading2"/>
        <w:spacing w:before="160" w:after="40"/>
      </w:pPr>
      <w:r>
        <w:rPr>
          <w:color w:val="2E2E2E"/>
          <w:sz w:val="23"/>
        </w:rPr>
        <w:t>9.1 What was changed</w:t>
      </w:r>
    </w:p>
    <w:p w14:paraId="32DBF843" w14:textId="77777777" w:rsidR="00C441C6" w:rsidRDefault="00D97B3B">
      <w:r>
        <w:t>BM25 keyword search (rank_bm25) was added over the same chunk texts and fused with the existing dense retrieval using Reciprocal Rank Fusion (RRF, k=60), selectable via a RETRIEVAL_MODE=hybrid toggle so both arms could be run against the identical index and test set.</w:t>
      </w:r>
    </w:p>
    <w:p w14:paraId="3BD00060" w14:textId="77777777" w:rsidR="00C441C6" w:rsidRDefault="00D97B3B">
      <w:pPr>
        <w:pStyle w:val="Heading2"/>
        <w:spacing w:before="160" w:after="40"/>
      </w:pPr>
      <w:r>
        <w:rPr>
          <w:color w:val="2E2E2E"/>
          <w:sz w:val="23"/>
        </w:rPr>
        <w:lastRenderedPageBreak/>
        <w:t>9.2 What problem the change was intended to solve</w:t>
      </w:r>
    </w:p>
    <w:p w14:paraId="35AB46A5" w14:textId="77777777" w:rsidR="00C441C6" w:rsidRDefault="00D97B3B">
      <w:r>
        <w:t>Dense embeddings can under-retrieve on queries containing distinctive keywords, numbers or scheme names (e.g. “$500”, “CDC Vouchers”) that get diluted inside a single dense vector. BM25's exact lexical matching complements dense semantic matching, particularly for short factual government-scheme queries.</w:t>
      </w:r>
    </w:p>
    <w:p w14:paraId="06C1E8FC" w14:textId="77777777" w:rsidR="00C441C6" w:rsidRDefault="00D97B3B">
      <w:pPr>
        <w:pStyle w:val="Heading2"/>
        <w:spacing w:before="160" w:after="40"/>
      </w:pPr>
      <w:r>
        <w:rPr>
          <w:color w:val="2E2E2E"/>
          <w:sz w:val="23"/>
        </w:rPr>
        <w:t>9.3 Results: baseline vs. improved</w:t>
      </w:r>
    </w:p>
    <w:tbl>
      <w:tblPr>
        <w:tblStyle w:val="TableGrid"/>
        <w:tblW w:w="0" w:type="auto"/>
        <w:jc w:val="center"/>
        <w:tblLook w:val="04A0" w:firstRow="1" w:lastRow="0" w:firstColumn="1" w:lastColumn="0" w:noHBand="0" w:noVBand="1"/>
      </w:tblPr>
      <w:tblGrid>
        <w:gridCol w:w="3168"/>
        <w:gridCol w:w="1728"/>
        <w:gridCol w:w="1728"/>
        <w:gridCol w:w="1728"/>
      </w:tblGrid>
      <w:tr w:rsidR="00C441C6" w14:paraId="79FDF920" w14:textId="77777777">
        <w:trPr>
          <w:jc w:val="center"/>
        </w:trPr>
        <w:tc>
          <w:tcPr>
            <w:tcW w:w="3168" w:type="dxa"/>
            <w:shd w:val="clear" w:color="auto" w:fill="1F3A5F"/>
          </w:tcPr>
          <w:p w14:paraId="5813B222" w14:textId="77777777" w:rsidR="00C441C6" w:rsidRDefault="00D97B3B">
            <w:r>
              <w:rPr>
                <w:b/>
                <w:color w:val="FFFFFF"/>
                <w:sz w:val="19"/>
              </w:rPr>
              <w:t>Metric</w:t>
            </w:r>
          </w:p>
        </w:tc>
        <w:tc>
          <w:tcPr>
            <w:tcW w:w="1728" w:type="dxa"/>
            <w:shd w:val="clear" w:color="auto" w:fill="1F3A5F"/>
          </w:tcPr>
          <w:p w14:paraId="06A5B119" w14:textId="77777777" w:rsidR="00C441C6" w:rsidRDefault="00D97B3B">
            <w:r>
              <w:rPr>
                <w:b/>
                <w:color w:val="FFFFFF"/>
                <w:sz w:val="19"/>
              </w:rPr>
              <w:t>Dense</w:t>
            </w:r>
          </w:p>
        </w:tc>
        <w:tc>
          <w:tcPr>
            <w:tcW w:w="1728" w:type="dxa"/>
            <w:shd w:val="clear" w:color="auto" w:fill="1F3A5F"/>
          </w:tcPr>
          <w:p w14:paraId="1D87D165" w14:textId="77777777" w:rsidR="00C441C6" w:rsidRDefault="00D97B3B">
            <w:r>
              <w:rPr>
                <w:b/>
                <w:color w:val="FFFFFF"/>
                <w:sz w:val="19"/>
              </w:rPr>
              <w:t>Hybrid</w:t>
            </w:r>
          </w:p>
        </w:tc>
        <w:tc>
          <w:tcPr>
            <w:tcW w:w="1728" w:type="dxa"/>
            <w:shd w:val="clear" w:color="auto" w:fill="1F3A5F"/>
          </w:tcPr>
          <w:p w14:paraId="7E78C3D7" w14:textId="77777777" w:rsidR="00C441C6" w:rsidRDefault="00D97B3B">
            <w:r>
              <w:rPr>
                <w:b/>
                <w:color w:val="FFFFFF"/>
                <w:sz w:val="19"/>
              </w:rPr>
              <w:t>Δ</w:t>
            </w:r>
          </w:p>
        </w:tc>
      </w:tr>
      <w:tr w:rsidR="00C441C6" w14:paraId="2B2FF069" w14:textId="77777777">
        <w:trPr>
          <w:jc w:val="center"/>
        </w:trPr>
        <w:tc>
          <w:tcPr>
            <w:tcW w:w="3168" w:type="dxa"/>
          </w:tcPr>
          <w:p w14:paraId="1F4B41BB" w14:textId="77777777" w:rsidR="00C441C6" w:rsidRDefault="00D97B3B">
            <w:r>
              <w:rPr>
                <w:sz w:val="19"/>
              </w:rPr>
              <w:t>Hit rate</w:t>
            </w:r>
          </w:p>
        </w:tc>
        <w:tc>
          <w:tcPr>
            <w:tcW w:w="1728" w:type="dxa"/>
          </w:tcPr>
          <w:p w14:paraId="25255536" w14:textId="77777777" w:rsidR="00C441C6" w:rsidRDefault="00D97B3B">
            <w:r>
              <w:rPr>
                <w:sz w:val="19"/>
              </w:rPr>
              <w:t>25.0%</w:t>
            </w:r>
          </w:p>
        </w:tc>
        <w:tc>
          <w:tcPr>
            <w:tcW w:w="1728" w:type="dxa"/>
          </w:tcPr>
          <w:p w14:paraId="2442CDE3" w14:textId="77777777" w:rsidR="00C441C6" w:rsidRDefault="00D97B3B">
            <w:r>
              <w:rPr>
                <w:sz w:val="19"/>
              </w:rPr>
              <w:t>37.5%</w:t>
            </w:r>
          </w:p>
        </w:tc>
        <w:tc>
          <w:tcPr>
            <w:tcW w:w="1728" w:type="dxa"/>
          </w:tcPr>
          <w:p w14:paraId="31E14C11" w14:textId="77777777" w:rsidR="00C441C6" w:rsidRDefault="00D97B3B">
            <w:r>
              <w:rPr>
                <w:sz w:val="19"/>
              </w:rPr>
              <w:t>+12.5 pp</w:t>
            </w:r>
          </w:p>
        </w:tc>
      </w:tr>
      <w:tr w:rsidR="00C441C6" w14:paraId="072157B3" w14:textId="77777777">
        <w:trPr>
          <w:jc w:val="center"/>
        </w:trPr>
        <w:tc>
          <w:tcPr>
            <w:tcW w:w="3168" w:type="dxa"/>
          </w:tcPr>
          <w:p w14:paraId="6926A384" w14:textId="77777777" w:rsidR="00C441C6" w:rsidRDefault="00D97B3B">
            <w:r>
              <w:rPr>
                <w:sz w:val="19"/>
              </w:rPr>
              <w:t>Recall@5</w:t>
            </w:r>
          </w:p>
        </w:tc>
        <w:tc>
          <w:tcPr>
            <w:tcW w:w="1728" w:type="dxa"/>
          </w:tcPr>
          <w:p w14:paraId="0A5BE1B6" w14:textId="77777777" w:rsidR="00C441C6" w:rsidRDefault="00D97B3B">
            <w:r>
              <w:rPr>
                <w:sz w:val="19"/>
              </w:rPr>
              <w:t>18.8%</w:t>
            </w:r>
          </w:p>
        </w:tc>
        <w:tc>
          <w:tcPr>
            <w:tcW w:w="1728" w:type="dxa"/>
          </w:tcPr>
          <w:p w14:paraId="01EEC608" w14:textId="77777777" w:rsidR="00C441C6" w:rsidRDefault="00D97B3B">
            <w:r>
              <w:rPr>
                <w:sz w:val="19"/>
              </w:rPr>
              <w:t>31.2%</w:t>
            </w:r>
          </w:p>
        </w:tc>
        <w:tc>
          <w:tcPr>
            <w:tcW w:w="1728" w:type="dxa"/>
          </w:tcPr>
          <w:p w14:paraId="402FDC40" w14:textId="77777777" w:rsidR="00C441C6" w:rsidRDefault="00D97B3B">
            <w:r>
              <w:rPr>
                <w:sz w:val="19"/>
              </w:rPr>
              <w:t>+12.5 pp</w:t>
            </w:r>
          </w:p>
        </w:tc>
      </w:tr>
      <w:tr w:rsidR="00C441C6" w14:paraId="2A605C30" w14:textId="77777777">
        <w:trPr>
          <w:jc w:val="center"/>
        </w:trPr>
        <w:tc>
          <w:tcPr>
            <w:tcW w:w="3168" w:type="dxa"/>
          </w:tcPr>
          <w:p w14:paraId="252E2D58" w14:textId="77777777" w:rsidR="00C441C6" w:rsidRDefault="00D97B3B">
            <w:r>
              <w:rPr>
                <w:sz w:val="19"/>
              </w:rPr>
              <w:t>MRR</w:t>
            </w:r>
          </w:p>
        </w:tc>
        <w:tc>
          <w:tcPr>
            <w:tcW w:w="1728" w:type="dxa"/>
          </w:tcPr>
          <w:p w14:paraId="778E4F19" w14:textId="77777777" w:rsidR="00C441C6" w:rsidRDefault="00D97B3B">
            <w:r>
              <w:rPr>
                <w:sz w:val="19"/>
              </w:rPr>
              <w:t>0.250</w:t>
            </w:r>
          </w:p>
        </w:tc>
        <w:tc>
          <w:tcPr>
            <w:tcW w:w="1728" w:type="dxa"/>
          </w:tcPr>
          <w:p w14:paraId="297D72E3" w14:textId="77777777" w:rsidR="00C441C6" w:rsidRDefault="00D97B3B">
            <w:r>
              <w:rPr>
                <w:sz w:val="19"/>
              </w:rPr>
              <w:t>0.219</w:t>
            </w:r>
          </w:p>
        </w:tc>
        <w:tc>
          <w:tcPr>
            <w:tcW w:w="1728" w:type="dxa"/>
          </w:tcPr>
          <w:p w14:paraId="4CAD2B3B" w14:textId="77777777" w:rsidR="00C441C6" w:rsidRDefault="00D97B3B">
            <w:r>
              <w:rPr>
                <w:sz w:val="19"/>
              </w:rPr>
              <w:t>−</w:t>
            </w:r>
            <w:r>
              <w:rPr>
                <w:sz w:val="19"/>
              </w:rPr>
              <w:t>0.031</w:t>
            </w:r>
          </w:p>
        </w:tc>
      </w:tr>
      <w:tr w:rsidR="00C441C6" w14:paraId="20941BCE" w14:textId="77777777">
        <w:trPr>
          <w:jc w:val="center"/>
        </w:trPr>
        <w:tc>
          <w:tcPr>
            <w:tcW w:w="3168" w:type="dxa"/>
          </w:tcPr>
          <w:p w14:paraId="4DBD6A8A" w14:textId="77777777" w:rsidR="00C441C6" w:rsidRDefault="00D97B3B">
            <w:r>
              <w:rPr>
                <w:sz w:val="19"/>
              </w:rPr>
              <w:t>Correctness (mean)</w:t>
            </w:r>
          </w:p>
        </w:tc>
        <w:tc>
          <w:tcPr>
            <w:tcW w:w="1728" w:type="dxa"/>
          </w:tcPr>
          <w:p w14:paraId="76AD0672" w14:textId="77777777" w:rsidR="00C441C6" w:rsidRDefault="00D97B3B">
            <w:r>
              <w:rPr>
                <w:sz w:val="19"/>
              </w:rPr>
              <w:t>1.27</w:t>
            </w:r>
          </w:p>
        </w:tc>
        <w:tc>
          <w:tcPr>
            <w:tcW w:w="1728" w:type="dxa"/>
          </w:tcPr>
          <w:p w14:paraId="66DD4D35" w14:textId="77777777" w:rsidR="00C441C6" w:rsidRDefault="00D97B3B">
            <w:r>
              <w:rPr>
                <w:sz w:val="19"/>
              </w:rPr>
              <w:t>1.40</w:t>
            </w:r>
          </w:p>
        </w:tc>
        <w:tc>
          <w:tcPr>
            <w:tcW w:w="1728" w:type="dxa"/>
          </w:tcPr>
          <w:p w14:paraId="52E7C597" w14:textId="77777777" w:rsidR="00C441C6" w:rsidRDefault="00D97B3B">
            <w:r>
              <w:rPr>
                <w:sz w:val="19"/>
              </w:rPr>
              <w:t>+0.13</w:t>
            </w:r>
          </w:p>
        </w:tc>
      </w:tr>
      <w:tr w:rsidR="00C441C6" w14:paraId="31DFB1AE" w14:textId="77777777">
        <w:trPr>
          <w:jc w:val="center"/>
        </w:trPr>
        <w:tc>
          <w:tcPr>
            <w:tcW w:w="3168" w:type="dxa"/>
          </w:tcPr>
          <w:p w14:paraId="6CFB8187" w14:textId="77777777" w:rsidR="00C441C6" w:rsidRDefault="00D97B3B">
            <w:r>
              <w:rPr>
                <w:sz w:val="19"/>
              </w:rPr>
              <w:t>Faithfulness (mean)</w:t>
            </w:r>
          </w:p>
        </w:tc>
        <w:tc>
          <w:tcPr>
            <w:tcW w:w="1728" w:type="dxa"/>
          </w:tcPr>
          <w:p w14:paraId="07A51421" w14:textId="77777777" w:rsidR="00C441C6" w:rsidRDefault="00D97B3B">
            <w:r>
              <w:rPr>
                <w:sz w:val="19"/>
              </w:rPr>
              <w:t>1.73</w:t>
            </w:r>
          </w:p>
        </w:tc>
        <w:tc>
          <w:tcPr>
            <w:tcW w:w="1728" w:type="dxa"/>
          </w:tcPr>
          <w:p w14:paraId="6301E1AB" w14:textId="77777777" w:rsidR="00C441C6" w:rsidRDefault="00D97B3B">
            <w:r>
              <w:rPr>
                <w:sz w:val="19"/>
              </w:rPr>
              <w:t>1.47</w:t>
            </w:r>
          </w:p>
        </w:tc>
        <w:tc>
          <w:tcPr>
            <w:tcW w:w="1728" w:type="dxa"/>
          </w:tcPr>
          <w:p w14:paraId="5A3B595A" w14:textId="77777777" w:rsidR="00C441C6" w:rsidRDefault="00D97B3B">
            <w:r>
              <w:rPr>
                <w:sz w:val="19"/>
              </w:rPr>
              <w:t>−</w:t>
            </w:r>
            <w:r>
              <w:rPr>
                <w:sz w:val="19"/>
              </w:rPr>
              <w:t>0.26</w:t>
            </w:r>
          </w:p>
        </w:tc>
      </w:tr>
      <w:tr w:rsidR="00C441C6" w14:paraId="4A8C370E" w14:textId="77777777">
        <w:trPr>
          <w:jc w:val="center"/>
        </w:trPr>
        <w:tc>
          <w:tcPr>
            <w:tcW w:w="3168" w:type="dxa"/>
          </w:tcPr>
          <w:p w14:paraId="6DB02DD6" w14:textId="77777777" w:rsidR="00C441C6" w:rsidRDefault="00D97B3B">
            <w:r>
              <w:rPr>
                <w:sz w:val="19"/>
              </w:rPr>
              <w:t>Citation accuracy (mean)</w:t>
            </w:r>
          </w:p>
        </w:tc>
        <w:tc>
          <w:tcPr>
            <w:tcW w:w="1728" w:type="dxa"/>
          </w:tcPr>
          <w:p w14:paraId="1ADB4B7A" w14:textId="77777777" w:rsidR="00C441C6" w:rsidRDefault="00D97B3B">
            <w:r>
              <w:rPr>
                <w:sz w:val="19"/>
              </w:rPr>
              <w:t>1.80</w:t>
            </w:r>
          </w:p>
        </w:tc>
        <w:tc>
          <w:tcPr>
            <w:tcW w:w="1728" w:type="dxa"/>
          </w:tcPr>
          <w:p w14:paraId="69EB4DFA" w14:textId="77777777" w:rsidR="00C441C6" w:rsidRDefault="00D97B3B">
            <w:r>
              <w:rPr>
                <w:sz w:val="19"/>
              </w:rPr>
              <w:t>1.80</w:t>
            </w:r>
          </w:p>
        </w:tc>
        <w:tc>
          <w:tcPr>
            <w:tcW w:w="1728" w:type="dxa"/>
          </w:tcPr>
          <w:p w14:paraId="031B54AE" w14:textId="77777777" w:rsidR="00C441C6" w:rsidRDefault="00D97B3B">
            <w:r>
              <w:rPr>
                <w:sz w:val="19"/>
              </w:rPr>
              <w:t>0.00</w:t>
            </w:r>
          </w:p>
        </w:tc>
      </w:tr>
    </w:tbl>
    <w:p w14:paraId="0028F580" w14:textId="77777777" w:rsidR="00C441C6" w:rsidRDefault="00C441C6">
      <w:pPr>
        <w:spacing w:after="40"/>
      </w:pPr>
    </w:p>
    <w:p w14:paraId="3E5ED8B6" w14:textId="77777777" w:rsidR="00C441C6" w:rsidRDefault="00D97B3B">
      <w:pPr>
        <w:pStyle w:val="Heading2"/>
        <w:spacing w:before="160" w:after="40"/>
      </w:pPr>
      <w:r>
        <w:rPr>
          <w:color w:val="2E2E2E"/>
          <w:sz w:val="23"/>
        </w:rPr>
        <w:t>9.4 Which results improved</w:t>
      </w:r>
    </w:p>
    <w:p w14:paraId="57AC9436" w14:textId="77777777" w:rsidR="00C441C6" w:rsidRDefault="00D97B3B">
      <w:r>
        <w:t>Hit Rate and Recall@5 both rose 12.5 percentage points — hybrid found the correct ground-truth chunk more often overall. The clearest example is F1 (CDC Vouchers): hybrid retrieved the expected chunk and correctly stated the $500 household amount, while dense fell below its similarity gate and abstained entirely. Correctness also improved slightly (1.27 → 1.40), consistent with hybrid answering more of the labelled questions instead of abstaining.</w:t>
      </w:r>
    </w:p>
    <w:p w14:paraId="12BEB888" w14:textId="77777777" w:rsidR="00C441C6" w:rsidRDefault="00D97B3B">
      <w:pPr>
        <w:pStyle w:val="Heading2"/>
        <w:spacing w:before="160" w:after="40"/>
      </w:pPr>
      <w:r>
        <w:rPr>
          <w:color w:val="2E2E2E"/>
          <w:sz w:val="23"/>
        </w:rPr>
        <w:t>9.5 Which results became worse, and the trade-offs introduced</w:t>
      </w:r>
    </w:p>
    <w:p w14:paraId="39B9F5E0" w14:textId="77777777" w:rsidR="00C441C6" w:rsidRDefault="00D97B3B">
      <w:r>
        <w:t>MRR fell slightly (0.250 → 0.219): when dense does retrieve the correct chunk, it tends to rank it earlier than hybrid's RRF fusion does, so hybrid's coverage gain does not come with a ranking-quality gain. Faithfulness dropped more substantially (1.73 → 1.47) — hybrid is more willing to generate an answer, and some of those answers are less strictly grounded than dense's more conservative abstentions. Citation accuracy was unchanged, showing that when hybrid does cite a source, it still cites correctly — t</w:t>
      </w:r>
      <w:r>
        <w:t>he trade-off is specifically in willingness-to-answer versus grounding rigor, not in citation mechanics.</w:t>
      </w:r>
    </w:p>
    <w:p w14:paraId="2E1A5C41" w14:textId="77777777" w:rsidR="00C441C6" w:rsidRDefault="00D97B3B">
      <w:pPr>
        <w:pStyle w:val="Heading2"/>
        <w:spacing w:before="160" w:after="40"/>
      </w:pPr>
      <w:r>
        <w:rPr>
          <w:color w:val="2E2E2E"/>
          <w:sz w:val="23"/>
        </w:rPr>
        <w:t>9.6 Failure case analysis (≥ 3 cases)</w:t>
      </w:r>
    </w:p>
    <w:p w14:paraId="44520733" w14:textId="77777777" w:rsidR="00C441C6" w:rsidRDefault="00D97B3B">
      <w:pPr>
        <w:pStyle w:val="ListBullet"/>
        <w:spacing w:after="40"/>
      </w:pPr>
      <w:r>
        <w:rPr>
          <w:b/>
        </w:rPr>
        <w:t xml:space="preserve">PR3 — citizenship hallucination. </w:t>
      </w:r>
      <w:r>
        <w:t>For a profile explicitly marked citizenship: PR, hybrid's SkillsFuture Credit reason text stated “You are a Singapore Citizen aged 40.” The deterministic bucket-derivation logic (eligible/unclear/not_assessed) only reads structured per-condition states, not the model's free-text reason, so an incorrect sentence can slip through even when the bucket label itself is derived correctly in code. This is a generation/grounding failure, not a retrieval or classification bug.</w:t>
      </w:r>
    </w:p>
    <w:p w14:paraId="19EB0459" w14:textId="77777777" w:rsidR="00C441C6" w:rsidRDefault="00D97B3B">
      <w:pPr>
        <w:pStyle w:val="ListBullet"/>
        <w:spacing w:after="40"/>
      </w:pPr>
      <w:r>
        <w:rPr>
          <w:b/>
        </w:rPr>
        <w:t xml:space="preserve">P1/P2 — paraphrase misrouting. </w:t>
      </w:r>
      <w:r>
        <w:t>“My mother lives with me and has no job” and “I'm a working mum—is there a tax break?” were both routed by the personal-situation intent heuristic into the eligibility-shortlist path (surfacing ComCare, Baby Bonus, SkillsFuture) in both dense and hybrid, instead of the intended IRAS Parent Relief / Working Mother's Child Relief answers. Root cause is twofold: a corpus gap (no dedicated Parent Relief or WMCR documents were ingested) compounded by an over-eager keyword-based router (“my”, “mother”) that miscl</w:t>
      </w:r>
      <w:r>
        <w:t>assifies tax-relief paraphrase questions as personal-situation questions.</w:t>
      </w:r>
    </w:p>
    <w:p w14:paraId="6812957C" w14:textId="77777777" w:rsidR="00C441C6" w:rsidRDefault="00D97B3B">
      <w:pPr>
        <w:pStyle w:val="ListBullet"/>
        <w:spacing w:after="40"/>
      </w:pPr>
      <w:r>
        <w:rPr>
          <w:b/>
        </w:rPr>
        <w:t xml:space="preserve">F2 — corpus-gap false positive. </w:t>
      </w:r>
      <w:r>
        <w:t>Hybrid confidently stated the $80,000 overall personal income tax relief cap, sourced from CPF top-up relief passages that mention the ceiling only in passing rather than from a dedicated personal-reliefs overview document; its faithfulness rubric score dropped to 0 as a result. Dense, by contrast, fell below its similarity gate and abstained (rubric 2/2/2). This shows hybrid's greater willingness to answer can surface a plausible but under-evidenced claim precisely where the ideal source document is missin</w:t>
      </w:r>
      <w:r>
        <w:t>g from the knowledge base.</w:t>
      </w:r>
    </w:p>
    <w:p w14:paraId="2BFD9701" w14:textId="77777777" w:rsidR="00C441C6" w:rsidRDefault="00D97B3B">
      <w:pPr>
        <w:pStyle w:val="ListBullet"/>
        <w:spacing w:after="40"/>
      </w:pPr>
      <w:r>
        <w:rPr>
          <w:b/>
        </w:rPr>
        <w:t xml:space="preserve">M2 — multi-document under-grounding. </w:t>
      </w:r>
      <w:r>
        <w:t xml:space="preserve">Neither mode retrieved the intended paired ground-truth documents (Silver Support + ComCare) for “what can a low-income retired senior in a rental flat get?” Dense abstained cleanly (rubric 0/2/2 — correctness penalised for non-answer, but faithfulness/citation intact). Hybrid instead generated a plausible synthesis around ComLink+ and the Silver Housing Bonus that only partially matches the expected </w:t>
      </w:r>
      <w:r>
        <w:lastRenderedPageBreak/>
        <w:t xml:space="preserve">criteria, scoring lower on correctness and faithfulness (1/1/2) — a case where answering something specific </w:t>
      </w:r>
      <w:r>
        <w:t>but only tangentially correct scored worse than a clean abstention.</w:t>
      </w:r>
    </w:p>
    <w:p w14:paraId="3A96DCDA" w14:textId="77777777" w:rsidR="00C441C6" w:rsidRDefault="00D97B3B">
      <w:r>
        <w:t>Overall, hybrid trades a small amount of ranking precision (MRR) and answer-faithfulness rigor for a meaningfully better chance of retrieving the right evidence at all (Hit Rate, Recall@5) — a reasonable trade for a resident-facing assistant, provided the grounding failures identified above (particularly PR3-style contradiction of the stated profile) are addressed, as discussed in Section 10.</w:t>
      </w:r>
    </w:p>
    <w:p w14:paraId="48A368B8" w14:textId="77777777" w:rsidR="00C441C6" w:rsidRDefault="00D97B3B">
      <w:pPr>
        <w:pStyle w:val="Heading2"/>
        <w:spacing w:before="160" w:after="40"/>
      </w:pPr>
      <w:r>
        <w:rPr>
          <w:color w:val="2E2E2E"/>
          <w:sz w:val="23"/>
        </w:rPr>
        <w:t>9.7 Secondary improvement: structure-aware and contextual chunking</w:t>
      </w:r>
    </w:p>
    <w:p w14:paraId="3FF5264C" w14:textId="77777777" w:rsidR="00C441C6" w:rsidRDefault="00D97B3B">
      <w:r>
        <w:t xml:space="preserve">Before the dense-vs-hybrid retrieval experiment above, the ingestion pipeline itself was upgraded: the project's original fixed 350/50-word chunker (paired with all-MiniLM-L6-v2 embeddings and a FAISS index) was replaced with (a) a two-stage structure-aware chunker that packs whole paragraphs and only falls back to fixed-word splitting for an oversized paragraph, and (b) an optional contextual-chunking step that prepends a short LLM-generated sentence describing where each chunk sits in its source document </w:t>
      </w:r>
      <w:r>
        <w:t>before embedding (see Section 4).</w:t>
      </w:r>
    </w:p>
    <w:p w14:paraId="3ACB0814" w14:textId="77777777" w:rsidR="00C441C6" w:rsidRDefault="00D97B3B">
      <w:r>
        <w:t>What problem this was intended to solve: fixed-word-count splitting with no boundary awareness risked cutting an eligibility condition list mid-sentence, and a chunk embedded in isolation can lose the document-level context (which scheme, which section) that helps a dense embedding tell apart short, generically-worded passages — such as a table row of dollar amounts — from similar-looking passages in other schemes.</w:t>
      </w:r>
    </w:p>
    <w:p w14:paraId="1A01B246" w14:textId="77777777" w:rsidR="00C441C6" w:rsidRDefault="00D97B3B">
      <w:r>
        <w:t>Because this chunking and embedding upgrade was applied before the dense-vs-hybrid comparison in Sections 7–9 was run, both the dense and hybrid arms reported above already benefit from it — there is no isolated “with vs. without contextual chunking” baseline in this evaluation to compare against, and this report does not claim one. What was verified instead is that contextualization actually ran, rather than silently degrading to its fail-open raw-text path: comparing embed_text against text for every reco</w:t>
      </w:r>
      <w:r>
        <w:t>rd in the live index (data/chroma/metadata.jsonl) shows 1,809 of 1,809 chunks (100%) received a prepended context sentence, with zero fallbacks across all three modalities (text, image, video).</w:t>
      </w:r>
    </w:p>
    <w:p w14:paraId="4E20D416" w14:textId="77777777" w:rsidR="00C441C6" w:rsidRDefault="00D97B3B">
      <w:r>
        <w:rPr>
          <w:sz w:val="19"/>
        </w:rPr>
        <w:t>Trade-offs: this improvement is not free. Contextualizing the full corpus adds a one-time LLM cost and ingestion time (estimated at roughly $0.06 and 8–12 minutes for the corpus's text chunks, priced against gpt-5.4-mini) that recurs on every full reingestion, and it depends on a second LLM provider quota, kept deliberately separate from the live-query provider after the team hit Groq's 100K-token/day cap once during development. A per-chunk fail-open path plus a 5-consecutive-failure circuit breaker mean a</w:t>
      </w:r>
      <w:r>
        <w:rPr>
          <w:sz w:val="19"/>
        </w:rPr>
        <w:t xml:space="preserve"> partial outage degrades gracefully to the pre-existing plain-chunk baseline rather than blocking ingestion — but it also means the 100% coverage figure above is a property of this particular successful run, not a structural guarantee for every future reingestion.</w:t>
      </w:r>
    </w:p>
    <w:p w14:paraId="5C7533B8" w14:textId="77777777" w:rsidR="00C441C6" w:rsidRDefault="00D97B3B">
      <w:pPr>
        <w:pStyle w:val="Heading1"/>
        <w:spacing w:before="280" w:after="80"/>
      </w:pPr>
      <w:r>
        <w:rPr>
          <w:color w:val="1F3A5F"/>
        </w:rPr>
        <w:t>10. Limitations and Recommended Next Steps</w:t>
      </w:r>
    </w:p>
    <w:p w14:paraId="174E10FC" w14:textId="77777777" w:rsidR="00C441C6" w:rsidRDefault="00D97B3B">
      <w:pPr>
        <w:pStyle w:val="Heading2"/>
        <w:spacing w:before="160" w:after="40"/>
      </w:pPr>
      <w:r>
        <w:rPr>
          <w:color w:val="2E2E2E"/>
          <w:sz w:val="23"/>
        </w:rPr>
        <w:t>Limitations</w:t>
      </w:r>
    </w:p>
    <w:p w14:paraId="28EE3FAE" w14:textId="77777777" w:rsidR="00C441C6" w:rsidRDefault="00D97B3B">
      <w:pPr>
        <w:pStyle w:val="ListBullet"/>
        <w:spacing w:after="40"/>
      </w:pPr>
      <w:r>
        <w:t>A small hand-labelled evaluation set (8 of 15 questions), often with a single strict ground-truth chunk per question, likely undercounts genuine document-level hits and should be read directionally rather than as a precise benchmark.</w:t>
      </w:r>
    </w:p>
    <w:p w14:paraId="570DCF86" w14:textId="77777777" w:rsidR="00C441C6" w:rsidRDefault="00D97B3B">
      <w:pPr>
        <w:pStyle w:val="ListBullet"/>
        <w:spacing w:after="40"/>
      </w:pPr>
      <w:r>
        <w:t>Known corpus gaps — no dedicated Parent Relief or Working Mother's Child Relief documents, and no single canonical personal-reliefs overview document — directly cause the P1, P2 and F2 failure cases.</w:t>
      </w:r>
    </w:p>
    <w:p w14:paraId="47DF354D" w14:textId="77777777" w:rsidR="00C441C6" w:rsidRDefault="00D97B3B">
      <w:pPr>
        <w:pStyle w:val="ListBullet"/>
        <w:spacing w:after="40"/>
      </w:pPr>
      <w:r>
        <w:t>The personal-situation intent router relies on a keyword-count heuristic (≥ 2 hits against a marker list) that can misfire on tax questions containing family-related words such as “mother” or “mum.”</w:t>
      </w:r>
    </w:p>
    <w:p w14:paraId="590C9AD8" w14:textId="77777777" w:rsidR="00C441C6" w:rsidRDefault="00D97B3B">
      <w:pPr>
        <w:pStyle w:val="ListBullet"/>
        <w:spacing w:after="40"/>
      </w:pPr>
      <w:r>
        <w:t>The eligibility shortlist's deterministic bucket derivation is not itself a guarantee of grounded free text: the model's “reason” sentence is not cross-validated against the structured profile, allowing contradictions like PR3 to reach the resident.</w:t>
      </w:r>
    </w:p>
    <w:p w14:paraId="539D426F" w14:textId="77777777" w:rsidR="00C441C6" w:rsidRDefault="00D97B3B">
      <w:pPr>
        <w:pStyle w:val="ListBullet"/>
        <w:spacing w:after="40"/>
      </w:pPr>
      <w:r>
        <w:t>MRR regressed slightly under hybrid retrieval, showing that Reciprocal Rank Fusion improves coverage but does not guarantee the labelled chunk is ranked first even when retrieved.</w:t>
      </w:r>
    </w:p>
    <w:p w14:paraId="530A80BA" w14:textId="77777777" w:rsidR="00C441C6" w:rsidRDefault="00D97B3B">
      <w:pPr>
        <w:pStyle w:val="Heading2"/>
        <w:spacing w:before="160" w:after="40"/>
      </w:pPr>
      <w:r>
        <w:rPr>
          <w:color w:val="2E2E2E"/>
          <w:sz w:val="23"/>
        </w:rPr>
        <w:t>Recommended next steps</w:t>
      </w:r>
    </w:p>
    <w:p w14:paraId="54F948B2" w14:textId="77777777" w:rsidR="00C441C6" w:rsidRDefault="00D97B3B">
      <w:pPr>
        <w:pStyle w:val="ListBullet"/>
        <w:spacing w:after="40"/>
      </w:pPr>
      <w:r>
        <w:t>Ingest the missing tax-relief source documents (Parent Relief, WMCR, and a consolidated personal-reliefs overview) to close the corpus gaps behind P1, P2 and F2.</w:t>
      </w:r>
    </w:p>
    <w:p w14:paraId="7A66A86E" w14:textId="77777777" w:rsidR="00C441C6" w:rsidRDefault="00D97B3B">
      <w:pPr>
        <w:pStyle w:val="ListBullet"/>
        <w:spacing w:after="40"/>
      </w:pPr>
      <w:r>
        <w:lastRenderedPageBreak/>
        <w:t>Add a post-generation consistency check that cross-validates each shortlist entry's free-text reason against the structured profile fields (e.g. reject or flag any reason asserting “Singapore Citizen” for a profile marked PR) before the response reaches the resident.</w:t>
      </w:r>
    </w:p>
    <w:p w14:paraId="4F588703" w14:textId="77777777" w:rsidR="00C441C6" w:rsidRDefault="00D97B3B">
      <w:pPr>
        <w:pStyle w:val="ListBullet"/>
        <w:spacing w:after="40"/>
      </w:pPr>
      <w:r>
        <w:t>Expand the hand-labelled test set beyond 8 of 15 questions, and label multiple acceptable ground-truth chunks per question where more than one passage is valid, to reduce the “right document, wrong chunk” miss artifact.</w:t>
      </w:r>
    </w:p>
    <w:p w14:paraId="12404C18" w14:textId="77777777" w:rsidR="00C441C6" w:rsidRDefault="00D97B3B">
      <w:pPr>
        <w:pStyle w:val="ListBullet"/>
        <w:spacing w:after="40"/>
      </w:pPr>
      <w:r>
        <w:t>Add a reranking stage (e.g. a cross-encoder) over the hybrid RRF-fused candidates to try to recover the MRR regression without giving up the Hit Rate/Recall@5 gains.</w:t>
      </w:r>
    </w:p>
    <w:p w14:paraId="47B3EB91" w14:textId="77777777" w:rsidR="00C441C6" w:rsidRDefault="00D97B3B">
      <w:pPr>
        <w:pStyle w:val="ListBullet"/>
        <w:spacing w:after="40"/>
      </w:pPr>
      <w:r>
        <w:t>Replace the keyword-heuristic intent router with a small classifier or a few-shot LLM check to reduce P1/P2-style misrouting between scheme-fact and personal-situation questions.</w:t>
      </w:r>
    </w:p>
    <w:p w14:paraId="5C60F204" w14:textId="77777777" w:rsidR="00C441C6" w:rsidRDefault="00D97B3B">
      <w:pPr>
        <w:pStyle w:val="Heading1"/>
        <w:spacing w:before="280" w:after="80"/>
      </w:pPr>
      <w:r>
        <w:rPr>
          <w:color w:val="1F3A5F"/>
        </w:rPr>
        <w:t>11. Contributions of Each Group Member</w:t>
      </w:r>
    </w:p>
    <w:p w14:paraId="0E316337" w14:textId="77777777" w:rsidR="00C441C6" w:rsidRDefault="00D97B3B">
      <w:r>
        <w:rPr>
          <w:i/>
          <w:sz w:val="19"/>
        </w:rPr>
        <w:t>Responsibility areas follow the assignment brief. Names and key contributions are summarised in the table below (Group 2).</w:t>
      </w:r>
    </w:p>
    <w:tbl>
      <w:tblPr>
        <w:tblStyle w:val="TableGrid"/>
        <w:tblW w:w="0" w:type="auto"/>
        <w:jc w:val="center"/>
        <w:tblLook w:val="04A0" w:firstRow="1" w:lastRow="0" w:firstColumn="1" w:lastColumn="0" w:noHBand="0" w:noVBand="1"/>
      </w:tblPr>
      <w:tblGrid>
        <w:gridCol w:w="2160"/>
        <w:gridCol w:w="2880"/>
        <w:gridCol w:w="4320"/>
      </w:tblGrid>
      <w:tr w:rsidR="00C441C6" w14:paraId="75AD1C13" w14:textId="77777777">
        <w:trPr>
          <w:jc w:val="center"/>
        </w:trPr>
        <w:tc>
          <w:tcPr>
            <w:tcW w:w="2160" w:type="dxa"/>
            <w:shd w:val="clear" w:color="auto" w:fill="1F3A5F"/>
          </w:tcPr>
          <w:p w14:paraId="17B7EDB4" w14:textId="77777777" w:rsidR="00C441C6" w:rsidRDefault="00D97B3B">
            <w:r>
              <w:rPr>
                <w:b/>
                <w:color w:val="FFFFFF"/>
                <w:sz w:val="19"/>
              </w:rPr>
              <w:t>Name</w:t>
            </w:r>
          </w:p>
        </w:tc>
        <w:tc>
          <w:tcPr>
            <w:tcW w:w="2880" w:type="dxa"/>
            <w:shd w:val="clear" w:color="auto" w:fill="1F3A5F"/>
          </w:tcPr>
          <w:p w14:paraId="0626D920" w14:textId="77777777" w:rsidR="00C441C6" w:rsidRDefault="00D97B3B">
            <w:r>
              <w:rPr>
                <w:b/>
                <w:color w:val="FFFFFF"/>
                <w:sz w:val="19"/>
              </w:rPr>
              <w:t>Responsibility Area</w:t>
            </w:r>
          </w:p>
        </w:tc>
        <w:tc>
          <w:tcPr>
            <w:tcW w:w="4320" w:type="dxa"/>
            <w:shd w:val="clear" w:color="auto" w:fill="1F3A5F"/>
          </w:tcPr>
          <w:p w14:paraId="1B646616" w14:textId="77777777" w:rsidR="00C441C6" w:rsidRDefault="00D97B3B">
            <w:r>
              <w:rPr>
                <w:b/>
                <w:color w:val="FFFFFF"/>
                <w:sz w:val="19"/>
              </w:rPr>
              <w:t>Key Contributions</w:t>
            </w:r>
          </w:p>
        </w:tc>
      </w:tr>
      <w:tr w:rsidR="00C441C6" w14:paraId="78D20C82" w14:textId="77777777">
        <w:trPr>
          <w:jc w:val="center"/>
        </w:trPr>
        <w:tc>
          <w:tcPr>
            <w:tcW w:w="2160" w:type="dxa"/>
          </w:tcPr>
          <w:p>
            <w:r>
              <w:t>Hongming</w:t>
            </w:r>
          </w:p>
        </w:tc>
        <w:tc>
          <w:tcPr>
            <w:tcW w:w="2880" w:type="dxa"/>
          </w:tcPr>
          <w:p>
            <w:r>
              <w:t>Data and ingestion</w:t>
            </w:r>
          </w:p>
        </w:tc>
        <w:tc>
          <w:tcPr>
            <w:tcW w:w="4320" w:type="dxa"/>
          </w:tcPr>
          <w:p>
            <w:r>
              <w:t>Document collection and cleaning; structure-aware chunking and optional LLM contextualization; metadata schema; multimodal ingestion (text/OCR/video transcription) into ChromaDB.</w:t>
            </w:r>
          </w:p>
        </w:tc>
      </w:tr>
      <w:tr w:rsidR="00C441C6" w14:paraId="105A1B69" w14:textId="77777777">
        <w:trPr>
          <w:jc w:val="center"/>
        </w:trPr>
        <w:tc>
          <w:tcPr>
            <w:tcW w:w="2160" w:type="dxa"/>
          </w:tcPr>
          <w:p>
            <w:r>
              <w:t>Max</w:t>
            </w:r>
          </w:p>
        </w:tc>
        <w:tc>
          <w:tcPr>
            <w:tcW w:w="2880" w:type="dxa"/>
          </w:tcPr>
          <w:p>
            <w:r>
              <w:t>Retrieval</w:t>
            </w:r>
          </w:p>
        </w:tc>
        <w:tc>
          <w:tcPr>
            <w:tcW w:w="4320" w:type="dxa"/>
          </w:tcPr>
          <w:p>
            <w:r>
              <w:t>BGE-M3 embeddings; Chroma dense baseline; BM25 + Reciprocal Rank Fusion hybrid retrieval; retrieval parameters, profile category re-ranking, and similarity abstention gate.</w:t>
            </w:r>
          </w:p>
        </w:tc>
      </w:tr>
      <w:tr w:rsidR="00C441C6" w14:paraId="1555C612" w14:textId="77777777">
        <w:trPr>
          <w:jc w:val="center"/>
        </w:trPr>
        <w:tc>
          <w:tcPr>
            <w:tcW w:w="2160" w:type="dxa"/>
          </w:tcPr>
          <w:p>
            <w:r>
              <w:t>Huimin</w:t>
            </w:r>
          </w:p>
        </w:tc>
        <w:tc>
          <w:tcPr>
            <w:tcW w:w="2880" w:type="dxa"/>
          </w:tcPr>
          <w:p>
            <w:r>
              <w:t>Generation and application</w:t>
            </w:r>
          </w:p>
        </w:tc>
        <w:tc>
          <w:tcPr>
            <w:tcW w:w="4320" w:type="dxa"/>
          </w:tcPr>
          <w:p>
            <w:r>
              <w:t>Prompt design and grounded answer generation; eligibility shortlist assessor; citations/UI; FastAPI backend and resident-facing frontend (including later chat-history and shortlist alignment work).</w:t>
            </w:r>
          </w:p>
        </w:tc>
      </w:tr>
      <w:tr w:rsidR="00C441C6" w14:paraId="0F44A9E5" w14:textId="77777777">
        <w:trPr>
          <w:jc w:val="center"/>
        </w:trPr>
        <w:tc>
          <w:tcPr>
            <w:tcW w:w="2160" w:type="dxa"/>
          </w:tcPr>
          <w:p>
            <w:r>
              <w:t>Jony</w:t>
            </w:r>
          </w:p>
        </w:tc>
        <w:tc>
          <w:tcPr>
            <w:tcW w:w="2880" w:type="dxa"/>
          </w:tcPr>
          <w:p>
            <w:r>
              <w:t>Evaluation and testing</w:t>
            </w:r>
          </w:p>
        </w:tc>
        <w:tc>
          <w:tcPr>
            <w:tcW w:w="4320" w:type="dxa"/>
          </w:tcPr>
          <w:p>
            <w:r>
              <w:t>Hand-labelled evaluation set; dense vs hybrid metrics and failure analysis; evaluation report; local reliability fixes, personal-eligibility parity testing, and rubric scoring.</w:t>
            </w:r>
          </w:p>
        </w:tc>
      </w:tr>
    </w:tbl>
    <w:p w14:paraId="58366B2A" w14:textId="77777777" w:rsidR="00C441C6" w:rsidRDefault="00C441C6">
      <w:pPr>
        <w:spacing w:after="40"/>
      </w:pPr>
    </w:p>
    <w:sectPr w:rsidR="00C441C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701264">
    <w:abstractNumId w:val="8"/>
  </w:num>
  <w:num w:numId="2" w16cid:durableId="2017997536">
    <w:abstractNumId w:val="6"/>
  </w:num>
  <w:num w:numId="3" w16cid:durableId="1278755241">
    <w:abstractNumId w:val="5"/>
  </w:num>
  <w:num w:numId="4" w16cid:durableId="1902984769">
    <w:abstractNumId w:val="4"/>
  </w:num>
  <w:num w:numId="5" w16cid:durableId="74743243">
    <w:abstractNumId w:val="7"/>
  </w:num>
  <w:num w:numId="6" w16cid:durableId="1159728247">
    <w:abstractNumId w:val="3"/>
  </w:num>
  <w:num w:numId="7" w16cid:durableId="60258136">
    <w:abstractNumId w:val="2"/>
  </w:num>
  <w:num w:numId="8" w16cid:durableId="1255364436">
    <w:abstractNumId w:val="1"/>
  </w:num>
  <w:num w:numId="9" w16cid:durableId="109362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809"/>
    <w:rsid w:val="00AA1D8D"/>
    <w:rsid w:val="00B47730"/>
    <w:rsid w:val="00C441C6"/>
    <w:rsid w:val="00CB0664"/>
    <w:rsid w:val="00D97B3B"/>
    <w:rsid w:val="00DD12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533AF"/>
  <w14:defaultImageDpi w14:val="300"/>
  <w15:docId w15:val="{CBF088B7-2ECB-48B3-81F4-E2ADA4026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3368</Words>
  <Characters>20917</Characters>
  <Application>Microsoft Office Word</Application>
  <DocSecurity>0</DocSecurity>
  <Lines>366</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Jony Ling</cp:lastModifiedBy>
  <cp:revision>2</cp:revision>
  <dcterms:created xsi:type="dcterms:W3CDTF">2013-12-23T23:15:00Z</dcterms:created>
  <dcterms:modified xsi:type="dcterms:W3CDTF">2026-07-31T03:09:00Z</dcterms:modified>
  <cp:category/>
</cp:coreProperties>
</file>