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4A7FB0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bCs/>
          <w:color w:val="4A7FB0"/>
          <w:sz w:val="30"/>
          <w:szCs w:val="30"/>
        </w:rPr>
        <w:t xml:space="preserve">Unité 4 — Les adjectifs possessifs</w:t>
      </w:r>
    </w:p>
    <w:p>
      <w:pPr>
        <w:bidi/>
        <w:jc w:val="center"/>
      </w:pPr>
      <w:r>
        <w:rPr>
          <w:rFonts w:ascii="Calibri" w:cs="Calibri" w:eastAsia="Calibri" w:hAnsi="Calibri"/>
          <w:color w:val="6b5c3e"/>
          <w:sz w:val="20"/>
          <w:szCs w:val="20"/>
          <w:rtl/>
        </w:rPr>
        <w:t xml:space="preserve">فيش مرجعية: صفات الملكية (tu / il / elle) — بأمثلة من الجسم</w:t>
      </w:r>
    </w:p>
    <w:p>
      <w:pPr>
        <w:shd w:fill="4A7FB0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Rappel de la règle complète  —  </w:t>
      </w:r>
      <w:r>
        <w:rPr>
          <w:b/>
          <w:bCs/>
          <w:color w:val="FFFFFF"/>
          <w:sz w:val="24"/>
          <w:szCs w:val="24"/>
          <w:rtl/>
        </w:rPr>
        <w:t xml:space="preserve">تذكير بالقاعدة كاملة</w:t>
      </w:r>
    </w:p>
    <w:p>
      <w:pPr>
        <w:bidi/>
        <w:spacing w:before="60"/>
        <w:jc w:val="right"/>
      </w:pPr>
      <w:r>
        <w:rPr>
          <w:rFonts w:ascii="Calibri" w:cs="Calibri" w:eastAsia="Calibri" w:hAnsi="Calibri"/>
          <w:sz w:val="20"/>
          <w:szCs w:val="20"/>
          <w:rtl/>
        </w:rPr>
        <w:t xml:space="preserve">صفة الملكية بتتغيّر حسب نوع </w:t>
      </w:r>
      <w:r>
        <w:rPr>
          <w:b/>
          <w:bCs/>
        </w:rPr>
        <w:t xml:space="preserve">الشيء المملوك</w:t>
      </w:r>
      <w:r>
        <w:rPr>
          <w:rFonts w:ascii="Calibri" w:cs="Calibri" w:eastAsia="Calibri" w:hAnsi="Calibri"/>
          <w:sz w:val="20"/>
          <w:szCs w:val="20"/>
          <w:rtl/>
        </w:rPr>
        <w:t xml:space="preserve"> (مذكر/مؤنث/جمع)، مش حسب صاحب الملكية.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Pronom</w:t>
            </w:r>
          </w:p>
        </w:tc>
        <w:tc>
          <w:tcPr>
            <w:tcW w:type="dxa" w:w="29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مذكر / مؤنث بحرف متحرك</w:t>
            </w:r>
          </w:p>
        </w:tc>
        <w:tc>
          <w:tcPr>
            <w:tcW w:type="dxa" w:w="22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مؤنث مفرد</w:t>
            </w:r>
          </w:p>
        </w:tc>
        <w:tc>
          <w:tcPr>
            <w:tcW w:type="dxa" w:w="22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جمع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7FB0"/>
                <w:sz w:val="20"/>
                <w:szCs w:val="20"/>
              </w:rPr>
              <w:t xml:space="preserve">Je / J'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mon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ma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mes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7FB0"/>
                <w:sz w:val="20"/>
                <w:szCs w:val="20"/>
              </w:rPr>
              <w:t xml:space="preserve">Tu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ton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ta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tes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7FB0"/>
                <w:sz w:val="20"/>
                <w:szCs w:val="20"/>
              </w:rPr>
              <w:t xml:space="preserve">Il / Elle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son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sa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ses</w:t>
            </w:r>
          </w:p>
        </w:tc>
      </w:tr>
    </w:tbl>
    <w:p>
      <w:pPr>
        <w:shd w:fill="2C7873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Exemples  —  </w:t>
      </w:r>
      <w:r>
        <w:rPr>
          <w:b/>
          <w:bCs/>
          <w:color w:val="FFFFFF"/>
          <w:sz w:val="24"/>
          <w:szCs w:val="24"/>
          <w:rtl/>
        </w:rPr>
        <w:t xml:space="preserve">أمثلة</w:t>
      </w:r>
    </w:p>
    <w:p>
      <w:pPr>
        <w:spacing w:before="60"/>
      </w:pPr>
      <w:r>
        <w:rPr>
          <w:rFonts w:ascii="Georgia" w:cs="Georgia" w:eastAsia="Georgia" w:hAnsi="Georgia"/>
          <w:sz w:val="20"/>
          <w:szCs w:val="20"/>
        </w:rPr>
        <w:t xml:space="preserve">Tu as un nez. → C'est ton nez.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Tu as une tête. → C'est ta tête.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Tu as des cils. → Ce sont tes cils.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Tu as des oreilles. → Ce sont tes oreilles.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Il a un menton. → C'est son menton.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Elle a une bouche. → C'est sa bouche.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Il a des crayons. → Ce sont ses crayons.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Elle a des gommes. → Ce sont ses gommes.</w:t>
      </w:r>
    </w:p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2026-08-03T10:15:52.563Z</dcterms:created>
  <dcterms:modified xsi:type="dcterms:W3CDTF">2026-08-03T10:15:52.564Z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