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6DFAF9CC"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15248C">
        <w:rPr>
          <w:rFonts w:ascii="Garamond" w:hAnsi="Garamond"/>
          <w:noProof/>
          <w:sz w:val="28"/>
          <w:szCs w:val="28"/>
        </w:rPr>
        <w:t>30. Oktober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937B7E" w:rsidRDefault="007747EF">
          <w:pPr>
            <w:pStyle w:val="Inhaltsverzeichnisberschrift"/>
            <w:rPr>
              <w:rFonts w:ascii="Garamond" w:hAnsi="Garamond"/>
              <w:sz w:val="24"/>
              <w:szCs w:val="24"/>
            </w:rPr>
          </w:pPr>
          <w:r w:rsidRPr="00937B7E">
            <w:rPr>
              <w:rFonts w:ascii="Garamond" w:hAnsi="Garamond"/>
              <w:sz w:val="24"/>
              <w:szCs w:val="24"/>
            </w:rPr>
            <w:t>Inhaltsverzeichnis</w:t>
          </w:r>
        </w:p>
        <w:p w14:paraId="20F1FB28" w14:textId="77777777" w:rsidR="00B44D8D" w:rsidRDefault="007747EF">
          <w:pPr>
            <w:pStyle w:val="Verzeichnis1"/>
            <w:tabs>
              <w:tab w:val="left" w:pos="440"/>
              <w:tab w:val="right" w:leader="dot" w:pos="9062"/>
            </w:tabs>
            <w:rPr>
              <w:rFonts w:eastAsiaTheme="minorEastAsia"/>
              <w:noProof/>
              <w:lang w:eastAsia="de-DE"/>
            </w:rPr>
          </w:pPr>
          <w:r w:rsidRPr="00937B7E">
            <w:rPr>
              <w:rFonts w:ascii="Garamond" w:hAnsi="Garamond"/>
              <w:b/>
              <w:bCs/>
              <w:sz w:val="24"/>
              <w:szCs w:val="24"/>
            </w:rPr>
            <w:fldChar w:fldCharType="begin"/>
          </w:r>
          <w:r w:rsidRPr="00937B7E">
            <w:rPr>
              <w:rFonts w:ascii="Garamond" w:hAnsi="Garamond"/>
              <w:b/>
              <w:bCs/>
              <w:sz w:val="24"/>
              <w:szCs w:val="24"/>
            </w:rPr>
            <w:instrText xml:space="preserve"> TOC \o "1-3" \h \z \u </w:instrText>
          </w:r>
          <w:r w:rsidRPr="00937B7E">
            <w:rPr>
              <w:rFonts w:ascii="Garamond" w:hAnsi="Garamond"/>
              <w:b/>
              <w:bCs/>
              <w:sz w:val="24"/>
              <w:szCs w:val="24"/>
            </w:rPr>
            <w:fldChar w:fldCharType="separate"/>
          </w:r>
          <w:hyperlink w:anchor="_Toc23366273" w:history="1">
            <w:r w:rsidR="00B44D8D" w:rsidRPr="00C26552">
              <w:rPr>
                <w:rStyle w:val="Hyperlink"/>
                <w:rFonts w:ascii="Garamond" w:hAnsi="Garamond"/>
                <w:noProof/>
              </w:rPr>
              <w:t>1</w:t>
            </w:r>
            <w:r w:rsidR="00B44D8D">
              <w:rPr>
                <w:rFonts w:eastAsiaTheme="minorEastAsia"/>
                <w:noProof/>
                <w:lang w:eastAsia="de-DE"/>
              </w:rPr>
              <w:tab/>
            </w:r>
            <w:r w:rsidR="00B44D8D" w:rsidRPr="00C26552">
              <w:rPr>
                <w:rStyle w:val="Hyperlink"/>
                <w:rFonts w:ascii="Garamond" w:hAnsi="Garamond"/>
                <w:noProof/>
              </w:rPr>
              <w:t>Einleitung</w:t>
            </w:r>
            <w:r w:rsidR="00B44D8D">
              <w:rPr>
                <w:noProof/>
                <w:webHidden/>
              </w:rPr>
              <w:tab/>
            </w:r>
            <w:r w:rsidR="00B44D8D">
              <w:rPr>
                <w:noProof/>
                <w:webHidden/>
              </w:rPr>
              <w:fldChar w:fldCharType="begin"/>
            </w:r>
            <w:r w:rsidR="00B44D8D">
              <w:rPr>
                <w:noProof/>
                <w:webHidden/>
              </w:rPr>
              <w:instrText xml:space="preserve"> PAGEREF _Toc23366273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7E3CE25A" w14:textId="77777777" w:rsidR="00B44D8D" w:rsidRDefault="00F27D5B">
          <w:pPr>
            <w:pStyle w:val="Verzeichnis1"/>
            <w:tabs>
              <w:tab w:val="left" w:pos="440"/>
              <w:tab w:val="right" w:leader="dot" w:pos="9062"/>
            </w:tabs>
            <w:rPr>
              <w:rFonts w:eastAsiaTheme="minorEastAsia"/>
              <w:noProof/>
              <w:lang w:eastAsia="de-DE"/>
            </w:rPr>
          </w:pPr>
          <w:hyperlink w:anchor="_Toc23366274" w:history="1">
            <w:r w:rsidR="00B44D8D" w:rsidRPr="00C26552">
              <w:rPr>
                <w:rStyle w:val="Hyperlink"/>
                <w:rFonts w:ascii="Garamond" w:hAnsi="Garamond"/>
                <w:noProof/>
              </w:rPr>
              <w:t>2</w:t>
            </w:r>
            <w:r w:rsidR="00B44D8D">
              <w:rPr>
                <w:rFonts w:eastAsiaTheme="minorEastAsia"/>
                <w:noProof/>
                <w:lang w:eastAsia="de-DE"/>
              </w:rPr>
              <w:tab/>
            </w:r>
            <w:r w:rsidR="00B44D8D" w:rsidRPr="00C26552">
              <w:rPr>
                <w:rStyle w:val="Hyperlink"/>
                <w:rFonts w:ascii="Garamond" w:hAnsi="Garamond"/>
                <w:noProof/>
              </w:rPr>
              <w:t>Private vs public Cloud</w:t>
            </w:r>
            <w:r w:rsidR="00B44D8D">
              <w:rPr>
                <w:noProof/>
                <w:webHidden/>
              </w:rPr>
              <w:tab/>
            </w:r>
            <w:r w:rsidR="00B44D8D">
              <w:rPr>
                <w:noProof/>
                <w:webHidden/>
              </w:rPr>
              <w:fldChar w:fldCharType="begin"/>
            </w:r>
            <w:r w:rsidR="00B44D8D">
              <w:rPr>
                <w:noProof/>
                <w:webHidden/>
              </w:rPr>
              <w:instrText xml:space="preserve"> PAGEREF _Toc23366274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00C49913" w14:textId="77777777" w:rsidR="00B44D8D" w:rsidRDefault="00F27D5B">
          <w:pPr>
            <w:pStyle w:val="Verzeichnis1"/>
            <w:tabs>
              <w:tab w:val="left" w:pos="440"/>
              <w:tab w:val="right" w:leader="dot" w:pos="9062"/>
            </w:tabs>
            <w:rPr>
              <w:rFonts w:eastAsiaTheme="minorEastAsia"/>
              <w:noProof/>
              <w:lang w:eastAsia="de-DE"/>
            </w:rPr>
          </w:pPr>
          <w:hyperlink w:anchor="_Toc23366275" w:history="1">
            <w:r w:rsidR="00B44D8D" w:rsidRPr="00C26552">
              <w:rPr>
                <w:rStyle w:val="Hyperlink"/>
                <w:rFonts w:ascii="Garamond" w:hAnsi="Garamond"/>
                <w:noProof/>
              </w:rPr>
              <w:t>3</w:t>
            </w:r>
            <w:r w:rsidR="00B44D8D">
              <w:rPr>
                <w:rFonts w:eastAsiaTheme="minorEastAsia"/>
                <w:noProof/>
                <w:lang w:eastAsia="de-DE"/>
              </w:rPr>
              <w:tab/>
            </w:r>
            <w:r w:rsidR="00B44D8D" w:rsidRPr="00C26552">
              <w:rPr>
                <w:rStyle w:val="Hyperlink"/>
                <w:rFonts w:ascii="Garamond" w:hAnsi="Garamond"/>
                <w:noProof/>
              </w:rPr>
              <w:t>Architekturen (single Tenancy,Virtualisierung, Multitenancy)</w:t>
            </w:r>
            <w:r w:rsidR="00B44D8D">
              <w:rPr>
                <w:noProof/>
                <w:webHidden/>
              </w:rPr>
              <w:tab/>
            </w:r>
            <w:r w:rsidR="00B44D8D">
              <w:rPr>
                <w:noProof/>
                <w:webHidden/>
              </w:rPr>
              <w:fldChar w:fldCharType="begin"/>
            </w:r>
            <w:r w:rsidR="00B44D8D">
              <w:rPr>
                <w:noProof/>
                <w:webHidden/>
              </w:rPr>
              <w:instrText xml:space="preserve"> PAGEREF _Toc23366275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1131237B" w14:textId="77777777" w:rsidR="00B44D8D" w:rsidRDefault="00F27D5B">
          <w:pPr>
            <w:pStyle w:val="Verzeichnis1"/>
            <w:tabs>
              <w:tab w:val="left" w:pos="440"/>
              <w:tab w:val="right" w:leader="dot" w:pos="9062"/>
            </w:tabs>
            <w:rPr>
              <w:rFonts w:eastAsiaTheme="minorEastAsia"/>
              <w:noProof/>
              <w:lang w:eastAsia="de-DE"/>
            </w:rPr>
          </w:pPr>
          <w:hyperlink w:anchor="_Toc23366276" w:history="1">
            <w:r w:rsidR="00B44D8D" w:rsidRPr="00C26552">
              <w:rPr>
                <w:rStyle w:val="Hyperlink"/>
                <w:rFonts w:ascii="Garamond" w:hAnsi="Garamond"/>
                <w:noProof/>
              </w:rPr>
              <w:t>4</w:t>
            </w:r>
            <w:r w:rsidR="00B44D8D">
              <w:rPr>
                <w:rFonts w:eastAsiaTheme="minorEastAsia"/>
                <w:noProof/>
                <w:lang w:eastAsia="de-DE"/>
              </w:rPr>
              <w:tab/>
            </w:r>
            <w:r w:rsidR="00B44D8D" w:rsidRPr="00C26552">
              <w:rPr>
                <w:rStyle w:val="Hyperlink"/>
                <w:rFonts w:ascii="Garamond" w:hAnsi="Garamond"/>
                <w:noProof/>
              </w:rPr>
              <w:t>Innovationsgeschwindigkeit</w:t>
            </w:r>
            <w:r w:rsidR="00B44D8D">
              <w:rPr>
                <w:noProof/>
                <w:webHidden/>
              </w:rPr>
              <w:tab/>
            </w:r>
            <w:r w:rsidR="00B44D8D">
              <w:rPr>
                <w:noProof/>
                <w:webHidden/>
              </w:rPr>
              <w:fldChar w:fldCharType="begin"/>
            </w:r>
            <w:r w:rsidR="00B44D8D">
              <w:rPr>
                <w:noProof/>
                <w:webHidden/>
              </w:rPr>
              <w:instrText xml:space="preserve"> PAGEREF _Toc23366276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252AD44B" w14:textId="77777777" w:rsidR="00B44D8D" w:rsidRDefault="00F27D5B">
          <w:pPr>
            <w:pStyle w:val="Verzeichnis1"/>
            <w:tabs>
              <w:tab w:val="left" w:pos="440"/>
              <w:tab w:val="right" w:leader="dot" w:pos="9062"/>
            </w:tabs>
            <w:rPr>
              <w:rFonts w:eastAsiaTheme="minorEastAsia"/>
              <w:noProof/>
              <w:lang w:eastAsia="de-DE"/>
            </w:rPr>
          </w:pPr>
          <w:hyperlink w:anchor="_Toc23366277" w:history="1">
            <w:r w:rsidR="00B44D8D" w:rsidRPr="00C26552">
              <w:rPr>
                <w:rStyle w:val="Hyperlink"/>
                <w:rFonts w:ascii="Garamond" w:hAnsi="Garamond"/>
                <w:noProof/>
              </w:rPr>
              <w:t>5</w:t>
            </w:r>
            <w:r w:rsidR="00B44D8D">
              <w:rPr>
                <w:rFonts w:eastAsiaTheme="minorEastAsia"/>
                <w:noProof/>
                <w:lang w:eastAsia="de-DE"/>
              </w:rPr>
              <w:tab/>
            </w:r>
            <w:r w:rsidR="00B44D8D" w:rsidRPr="00C26552">
              <w:rPr>
                <w:rStyle w:val="Hyperlink"/>
                <w:rFonts w:ascii="Garamond" w:hAnsi="Garamond"/>
                <w:noProof/>
              </w:rPr>
              <w:t>Lizenzvertrag vs. Service Level Agreement</w:t>
            </w:r>
            <w:r w:rsidR="00B44D8D">
              <w:rPr>
                <w:noProof/>
                <w:webHidden/>
              </w:rPr>
              <w:tab/>
            </w:r>
            <w:r w:rsidR="00B44D8D">
              <w:rPr>
                <w:noProof/>
                <w:webHidden/>
              </w:rPr>
              <w:fldChar w:fldCharType="begin"/>
            </w:r>
            <w:r w:rsidR="00B44D8D">
              <w:rPr>
                <w:noProof/>
                <w:webHidden/>
              </w:rPr>
              <w:instrText xml:space="preserve"> PAGEREF _Toc23366277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771EFF79" w14:textId="77777777" w:rsidR="00B44D8D" w:rsidRDefault="00F27D5B">
          <w:pPr>
            <w:pStyle w:val="Verzeichnis1"/>
            <w:tabs>
              <w:tab w:val="left" w:pos="440"/>
              <w:tab w:val="right" w:leader="dot" w:pos="9062"/>
            </w:tabs>
            <w:rPr>
              <w:rFonts w:eastAsiaTheme="minorEastAsia"/>
              <w:noProof/>
              <w:lang w:eastAsia="de-DE"/>
            </w:rPr>
          </w:pPr>
          <w:hyperlink w:anchor="_Toc23366278" w:history="1">
            <w:r w:rsidR="00B44D8D" w:rsidRPr="00C26552">
              <w:rPr>
                <w:rStyle w:val="Hyperlink"/>
                <w:rFonts w:ascii="Garamond" w:hAnsi="Garamond"/>
                <w:noProof/>
              </w:rPr>
              <w:t>6</w:t>
            </w:r>
            <w:r w:rsidR="00B44D8D">
              <w:rPr>
                <w:rFonts w:eastAsiaTheme="minorEastAsia"/>
                <w:noProof/>
                <w:lang w:eastAsia="de-DE"/>
              </w:rPr>
              <w:tab/>
            </w:r>
            <w:r w:rsidR="00B44D8D" w:rsidRPr="00C26552">
              <w:rPr>
                <w:rStyle w:val="Hyperlink"/>
                <w:rFonts w:ascii="Garamond" w:hAnsi="Garamond"/>
                <w:noProof/>
              </w:rPr>
              <w:t>Strategien klassischer Softwareanbieter für den Wechsel zur Cloud</w:t>
            </w:r>
            <w:r w:rsidR="00B44D8D">
              <w:rPr>
                <w:noProof/>
                <w:webHidden/>
              </w:rPr>
              <w:tab/>
            </w:r>
            <w:r w:rsidR="00B44D8D">
              <w:rPr>
                <w:noProof/>
                <w:webHidden/>
              </w:rPr>
              <w:fldChar w:fldCharType="begin"/>
            </w:r>
            <w:r w:rsidR="00B44D8D">
              <w:rPr>
                <w:noProof/>
                <w:webHidden/>
              </w:rPr>
              <w:instrText xml:space="preserve"> PAGEREF _Toc23366278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7B3BAC51" w14:textId="77777777" w:rsidR="00B44D8D" w:rsidRDefault="00F27D5B">
          <w:pPr>
            <w:pStyle w:val="Verzeichnis1"/>
            <w:tabs>
              <w:tab w:val="left" w:pos="440"/>
              <w:tab w:val="right" w:leader="dot" w:pos="9062"/>
            </w:tabs>
            <w:rPr>
              <w:rFonts w:eastAsiaTheme="minorEastAsia"/>
              <w:noProof/>
              <w:lang w:eastAsia="de-DE"/>
            </w:rPr>
          </w:pPr>
          <w:hyperlink w:anchor="_Toc23366279" w:history="1">
            <w:r w:rsidR="00B44D8D" w:rsidRPr="00C26552">
              <w:rPr>
                <w:rStyle w:val="Hyperlink"/>
                <w:rFonts w:ascii="Garamond" w:hAnsi="Garamond"/>
                <w:noProof/>
              </w:rPr>
              <w:t>7</w:t>
            </w:r>
            <w:r w:rsidR="00B44D8D">
              <w:rPr>
                <w:rFonts w:eastAsiaTheme="minorEastAsia"/>
                <w:noProof/>
                <w:lang w:eastAsia="de-DE"/>
              </w:rPr>
              <w:tab/>
            </w:r>
            <w:r w:rsidR="00B44D8D" w:rsidRPr="00C26552">
              <w:rPr>
                <w:rStyle w:val="Hyperlink"/>
                <w:rFonts w:ascii="Garamond" w:hAnsi="Garamond"/>
                <w:noProof/>
              </w:rPr>
              <w:t>Legale Randbedingungen</w:t>
            </w:r>
            <w:r w:rsidR="00B44D8D">
              <w:rPr>
                <w:noProof/>
                <w:webHidden/>
              </w:rPr>
              <w:tab/>
            </w:r>
            <w:r w:rsidR="00B44D8D">
              <w:rPr>
                <w:noProof/>
                <w:webHidden/>
              </w:rPr>
              <w:fldChar w:fldCharType="begin"/>
            </w:r>
            <w:r w:rsidR="00B44D8D">
              <w:rPr>
                <w:noProof/>
                <w:webHidden/>
              </w:rPr>
              <w:instrText xml:space="preserve"> PAGEREF _Toc23366279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14:paraId="3B4EA27A" w14:textId="77777777" w:rsidR="00B44D8D" w:rsidRDefault="00F27D5B">
          <w:pPr>
            <w:pStyle w:val="Verzeichnis1"/>
            <w:tabs>
              <w:tab w:val="left" w:pos="440"/>
              <w:tab w:val="right" w:leader="dot" w:pos="9062"/>
            </w:tabs>
            <w:rPr>
              <w:rFonts w:eastAsiaTheme="minorEastAsia"/>
              <w:noProof/>
              <w:lang w:eastAsia="de-DE"/>
            </w:rPr>
          </w:pPr>
          <w:hyperlink w:anchor="_Toc23366280" w:history="1">
            <w:r w:rsidR="00B44D8D" w:rsidRPr="00C26552">
              <w:rPr>
                <w:rStyle w:val="Hyperlink"/>
                <w:rFonts w:ascii="Garamond" w:hAnsi="Garamond"/>
                <w:noProof/>
              </w:rPr>
              <w:t>8</w:t>
            </w:r>
            <w:r w:rsidR="00B44D8D">
              <w:rPr>
                <w:rFonts w:eastAsiaTheme="minorEastAsia"/>
                <w:noProof/>
                <w:lang w:eastAsia="de-DE"/>
              </w:rPr>
              <w:tab/>
            </w:r>
            <w:r w:rsidR="00B44D8D" w:rsidRPr="00C26552">
              <w:rPr>
                <w:rStyle w:val="Hyperlink"/>
                <w:rFonts w:ascii="Garamond" w:hAnsi="Garamond"/>
                <w:noProof/>
              </w:rPr>
              <w:t>Anpassung an Benutzeranforderungen</w:t>
            </w:r>
            <w:r w:rsidR="00B44D8D">
              <w:rPr>
                <w:noProof/>
                <w:webHidden/>
              </w:rPr>
              <w:tab/>
            </w:r>
            <w:r w:rsidR="00B44D8D">
              <w:rPr>
                <w:noProof/>
                <w:webHidden/>
              </w:rPr>
              <w:fldChar w:fldCharType="begin"/>
            </w:r>
            <w:r w:rsidR="00B44D8D">
              <w:rPr>
                <w:noProof/>
                <w:webHidden/>
              </w:rPr>
              <w:instrText xml:space="preserve"> PAGEREF _Toc23366280 \h </w:instrText>
            </w:r>
            <w:r w:rsidR="00B44D8D">
              <w:rPr>
                <w:noProof/>
                <w:webHidden/>
              </w:rPr>
            </w:r>
            <w:r w:rsidR="00B44D8D">
              <w:rPr>
                <w:noProof/>
                <w:webHidden/>
              </w:rPr>
              <w:fldChar w:fldCharType="separate"/>
            </w:r>
            <w:r w:rsidR="00B44D8D">
              <w:rPr>
                <w:noProof/>
                <w:webHidden/>
              </w:rPr>
              <w:t>4</w:t>
            </w:r>
            <w:r w:rsidR="00B44D8D">
              <w:rPr>
                <w:noProof/>
                <w:webHidden/>
              </w:rPr>
              <w:fldChar w:fldCharType="end"/>
            </w:r>
          </w:hyperlink>
        </w:p>
        <w:p w14:paraId="52BBF052" w14:textId="77777777" w:rsidR="00B44D8D" w:rsidRDefault="00F27D5B">
          <w:pPr>
            <w:pStyle w:val="Verzeichnis1"/>
            <w:tabs>
              <w:tab w:val="left" w:pos="440"/>
              <w:tab w:val="right" w:leader="dot" w:pos="9062"/>
            </w:tabs>
            <w:rPr>
              <w:rFonts w:eastAsiaTheme="minorEastAsia"/>
              <w:noProof/>
              <w:lang w:eastAsia="de-DE"/>
            </w:rPr>
          </w:pPr>
          <w:hyperlink w:anchor="_Toc23366281" w:history="1">
            <w:r w:rsidR="00B44D8D" w:rsidRPr="00C26552">
              <w:rPr>
                <w:rStyle w:val="Hyperlink"/>
                <w:rFonts w:ascii="Garamond" w:hAnsi="Garamond"/>
                <w:noProof/>
              </w:rPr>
              <w:t>9</w:t>
            </w:r>
            <w:r w:rsidR="00B44D8D">
              <w:rPr>
                <w:rFonts w:eastAsiaTheme="minorEastAsia"/>
                <w:noProof/>
                <w:lang w:eastAsia="de-DE"/>
              </w:rPr>
              <w:tab/>
            </w:r>
            <w:r w:rsidR="00B44D8D" w:rsidRPr="001365DE">
              <w:rPr>
                <w:rStyle w:val="Hyperlink"/>
                <w:rFonts w:ascii="Garamond" w:hAnsi="Garamond"/>
                <w:noProof/>
                <w:sz w:val="24"/>
                <w:szCs w:val="24"/>
              </w:rPr>
              <w:t>Geschäftsmodellaspekte</w:t>
            </w:r>
            <w:r w:rsidR="00B44D8D" w:rsidRPr="00C26552">
              <w:rPr>
                <w:rStyle w:val="Hyperlink"/>
                <w:rFonts w:ascii="Garamond" w:hAnsi="Garamond"/>
                <w:noProof/>
              </w:rPr>
              <w:t xml:space="preserve"> für den Anbieter (Cash Flow, verbriefter Umsatz)</w:t>
            </w:r>
            <w:r w:rsidR="00B44D8D">
              <w:rPr>
                <w:noProof/>
                <w:webHidden/>
              </w:rPr>
              <w:tab/>
            </w:r>
            <w:r w:rsidR="00B44D8D">
              <w:rPr>
                <w:noProof/>
                <w:webHidden/>
              </w:rPr>
              <w:fldChar w:fldCharType="begin"/>
            </w:r>
            <w:r w:rsidR="00B44D8D">
              <w:rPr>
                <w:noProof/>
                <w:webHidden/>
              </w:rPr>
              <w:instrText xml:space="preserve"> PAGEREF _Toc23366281 \h </w:instrText>
            </w:r>
            <w:r w:rsidR="00B44D8D">
              <w:rPr>
                <w:noProof/>
                <w:webHidden/>
              </w:rPr>
            </w:r>
            <w:r w:rsidR="00B44D8D">
              <w:rPr>
                <w:noProof/>
                <w:webHidden/>
              </w:rPr>
              <w:fldChar w:fldCharType="separate"/>
            </w:r>
            <w:r w:rsidR="00B44D8D">
              <w:rPr>
                <w:noProof/>
                <w:webHidden/>
              </w:rPr>
              <w:t>4</w:t>
            </w:r>
            <w:r w:rsidR="00B44D8D">
              <w:rPr>
                <w:noProof/>
                <w:webHidden/>
              </w:rPr>
              <w:fldChar w:fldCharType="end"/>
            </w:r>
          </w:hyperlink>
        </w:p>
        <w:p w14:paraId="0EFF5701" w14:textId="77777777" w:rsidR="00B44D8D" w:rsidRDefault="00F27D5B">
          <w:pPr>
            <w:pStyle w:val="Verzeichnis1"/>
            <w:tabs>
              <w:tab w:val="left" w:pos="440"/>
              <w:tab w:val="right" w:leader="dot" w:pos="9062"/>
            </w:tabs>
            <w:rPr>
              <w:rFonts w:eastAsiaTheme="minorEastAsia"/>
              <w:noProof/>
              <w:lang w:eastAsia="de-DE"/>
            </w:rPr>
          </w:pPr>
          <w:hyperlink w:anchor="_Toc23366282" w:history="1">
            <w:r w:rsidR="00B44D8D" w:rsidRPr="00C26552">
              <w:rPr>
                <w:rStyle w:val="Hyperlink"/>
                <w:rFonts w:ascii="Garamond" w:hAnsi="Garamond"/>
                <w:noProof/>
              </w:rPr>
              <w:t>10</w:t>
            </w:r>
            <w:r w:rsidR="00B44D8D">
              <w:rPr>
                <w:rFonts w:eastAsiaTheme="minorEastAsia"/>
                <w:noProof/>
                <w:lang w:eastAsia="de-DE"/>
              </w:rPr>
              <w:tab/>
            </w:r>
            <w:r w:rsidR="00B44D8D" w:rsidRPr="00C26552">
              <w:rPr>
                <w:rStyle w:val="Hyperlink"/>
                <w:rFonts w:ascii="Garamond" w:hAnsi="Garamond"/>
                <w:noProof/>
              </w:rPr>
              <w:t>Cloud und IT-Abteilung</w:t>
            </w:r>
            <w:r w:rsidR="00B44D8D">
              <w:rPr>
                <w:noProof/>
                <w:webHidden/>
              </w:rPr>
              <w:tab/>
            </w:r>
            <w:r w:rsidR="00B44D8D">
              <w:rPr>
                <w:noProof/>
                <w:webHidden/>
              </w:rPr>
              <w:fldChar w:fldCharType="begin"/>
            </w:r>
            <w:r w:rsidR="00B44D8D">
              <w:rPr>
                <w:noProof/>
                <w:webHidden/>
              </w:rPr>
              <w:instrText xml:space="preserve"> PAGEREF _Toc23366282 \h </w:instrText>
            </w:r>
            <w:r w:rsidR="00B44D8D">
              <w:rPr>
                <w:noProof/>
                <w:webHidden/>
              </w:rPr>
            </w:r>
            <w:r w:rsidR="00B44D8D">
              <w:rPr>
                <w:noProof/>
                <w:webHidden/>
              </w:rPr>
              <w:fldChar w:fldCharType="separate"/>
            </w:r>
            <w:r w:rsidR="00B44D8D">
              <w:rPr>
                <w:noProof/>
                <w:webHidden/>
              </w:rPr>
              <w:t>4</w:t>
            </w:r>
            <w:r w:rsidR="00B44D8D">
              <w:rPr>
                <w:noProof/>
                <w:webHidden/>
              </w:rPr>
              <w:fldChar w:fldCharType="end"/>
            </w:r>
          </w:hyperlink>
        </w:p>
        <w:p w14:paraId="74B97356" w14:textId="77777777" w:rsidR="00B44D8D" w:rsidRDefault="00F27D5B">
          <w:pPr>
            <w:pStyle w:val="Verzeichnis1"/>
            <w:tabs>
              <w:tab w:val="left" w:pos="440"/>
              <w:tab w:val="right" w:leader="dot" w:pos="9062"/>
            </w:tabs>
            <w:rPr>
              <w:rFonts w:eastAsiaTheme="minorEastAsia"/>
              <w:noProof/>
              <w:lang w:eastAsia="de-DE"/>
            </w:rPr>
          </w:pPr>
          <w:hyperlink w:anchor="_Toc23366283" w:history="1">
            <w:r w:rsidR="00B44D8D" w:rsidRPr="00C26552">
              <w:rPr>
                <w:rStyle w:val="Hyperlink"/>
                <w:rFonts w:ascii="Garamond" w:hAnsi="Garamond"/>
                <w:noProof/>
              </w:rPr>
              <w:t>11</w:t>
            </w:r>
            <w:r w:rsidR="00B44D8D">
              <w:rPr>
                <w:rFonts w:eastAsiaTheme="minorEastAsia"/>
                <w:noProof/>
                <w:lang w:eastAsia="de-DE"/>
              </w:rPr>
              <w:tab/>
            </w:r>
            <w:r w:rsidR="00B44D8D" w:rsidRPr="00C26552">
              <w:rPr>
                <w:rStyle w:val="Hyperlink"/>
                <w:rFonts w:ascii="Garamond" w:hAnsi="Garamond"/>
                <w:noProof/>
              </w:rPr>
              <w:t>Kundenbindung und Anbieterwechsel</w:t>
            </w:r>
            <w:r w:rsidR="00B44D8D">
              <w:rPr>
                <w:noProof/>
                <w:webHidden/>
              </w:rPr>
              <w:tab/>
            </w:r>
            <w:r w:rsidR="00B44D8D">
              <w:rPr>
                <w:noProof/>
                <w:webHidden/>
              </w:rPr>
              <w:fldChar w:fldCharType="begin"/>
            </w:r>
            <w:r w:rsidR="00B44D8D">
              <w:rPr>
                <w:noProof/>
                <w:webHidden/>
              </w:rPr>
              <w:instrText xml:space="preserve"> PAGEREF _Toc23366283 \h </w:instrText>
            </w:r>
            <w:r w:rsidR="00B44D8D">
              <w:rPr>
                <w:noProof/>
                <w:webHidden/>
              </w:rPr>
            </w:r>
            <w:r w:rsidR="00B44D8D">
              <w:rPr>
                <w:noProof/>
                <w:webHidden/>
              </w:rPr>
              <w:fldChar w:fldCharType="separate"/>
            </w:r>
            <w:r w:rsidR="00B44D8D">
              <w:rPr>
                <w:noProof/>
                <w:webHidden/>
              </w:rPr>
              <w:t>5</w:t>
            </w:r>
            <w:r w:rsidR="00B44D8D">
              <w:rPr>
                <w:noProof/>
                <w:webHidden/>
              </w:rPr>
              <w:fldChar w:fldCharType="end"/>
            </w:r>
          </w:hyperlink>
        </w:p>
        <w:p w14:paraId="098AB05E" w14:textId="77777777" w:rsidR="00B44D8D" w:rsidRDefault="00F27D5B">
          <w:pPr>
            <w:pStyle w:val="Verzeichnis1"/>
            <w:tabs>
              <w:tab w:val="left" w:pos="440"/>
              <w:tab w:val="right" w:leader="dot" w:pos="9062"/>
            </w:tabs>
            <w:rPr>
              <w:rFonts w:eastAsiaTheme="minorEastAsia"/>
              <w:noProof/>
              <w:lang w:eastAsia="de-DE"/>
            </w:rPr>
          </w:pPr>
          <w:hyperlink w:anchor="_Toc23366284" w:history="1">
            <w:r w:rsidR="00B44D8D" w:rsidRPr="00C26552">
              <w:rPr>
                <w:rStyle w:val="Hyperlink"/>
                <w:rFonts w:ascii="Garamond" w:hAnsi="Garamond"/>
                <w:noProof/>
              </w:rPr>
              <w:t>12</w:t>
            </w:r>
            <w:r w:rsidR="00B44D8D">
              <w:rPr>
                <w:rFonts w:eastAsiaTheme="minorEastAsia"/>
                <w:noProof/>
                <w:lang w:eastAsia="de-DE"/>
              </w:rPr>
              <w:tab/>
            </w:r>
            <w:r w:rsidR="00B44D8D" w:rsidRPr="00C26552">
              <w:rPr>
                <w:rStyle w:val="Hyperlink"/>
                <w:rFonts w:ascii="Garamond" w:hAnsi="Garamond"/>
                <w:noProof/>
              </w:rPr>
              <w:t>Schluss</w:t>
            </w:r>
            <w:r w:rsidR="00B44D8D">
              <w:rPr>
                <w:noProof/>
                <w:webHidden/>
              </w:rPr>
              <w:tab/>
            </w:r>
            <w:r w:rsidR="00B44D8D">
              <w:rPr>
                <w:noProof/>
                <w:webHidden/>
              </w:rPr>
              <w:fldChar w:fldCharType="begin"/>
            </w:r>
            <w:r w:rsidR="00B44D8D">
              <w:rPr>
                <w:noProof/>
                <w:webHidden/>
              </w:rPr>
              <w:instrText xml:space="preserve"> PAGEREF _Toc23366284 \h </w:instrText>
            </w:r>
            <w:r w:rsidR="00B44D8D">
              <w:rPr>
                <w:noProof/>
                <w:webHidden/>
              </w:rPr>
            </w:r>
            <w:r w:rsidR="00B44D8D">
              <w:rPr>
                <w:noProof/>
                <w:webHidden/>
              </w:rPr>
              <w:fldChar w:fldCharType="separate"/>
            </w:r>
            <w:r w:rsidR="00B44D8D">
              <w:rPr>
                <w:noProof/>
                <w:webHidden/>
              </w:rPr>
              <w:t>5</w:t>
            </w:r>
            <w:r w:rsidR="00B44D8D">
              <w:rPr>
                <w:noProof/>
                <w:webHidden/>
              </w:rPr>
              <w:fldChar w:fldCharType="end"/>
            </w:r>
          </w:hyperlink>
        </w:p>
        <w:p w14:paraId="289CBF05" w14:textId="77777777" w:rsidR="00B44D8D" w:rsidRDefault="00F27D5B">
          <w:pPr>
            <w:pStyle w:val="Verzeichnis1"/>
            <w:tabs>
              <w:tab w:val="right" w:leader="dot" w:pos="9062"/>
            </w:tabs>
            <w:rPr>
              <w:rFonts w:eastAsiaTheme="minorEastAsia"/>
              <w:noProof/>
              <w:lang w:eastAsia="de-DE"/>
            </w:rPr>
          </w:pPr>
          <w:hyperlink w:anchor="_Toc23366285" w:history="1">
            <w:r w:rsidR="00B44D8D" w:rsidRPr="00C26552">
              <w:rPr>
                <w:rStyle w:val="Hyperlink"/>
                <w:noProof/>
              </w:rPr>
              <w:t>Literaturverzeichnis</w:t>
            </w:r>
            <w:r w:rsidR="00B44D8D">
              <w:rPr>
                <w:noProof/>
                <w:webHidden/>
              </w:rPr>
              <w:tab/>
            </w:r>
            <w:r w:rsidR="00B44D8D">
              <w:rPr>
                <w:noProof/>
                <w:webHidden/>
              </w:rPr>
              <w:fldChar w:fldCharType="begin"/>
            </w:r>
            <w:r w:rsidR="00B44D8D">
              <w:rPr>
                <w:noProof/>
                <w:webHidden/>
              </w:rPr>
              <w:instrText xml:space="preserve"> PAGEREF _Toc23366285 \h </w:instrText>
            </w:r>
            <w:r w:rsidR="00B44D8D">
              <w:rPr>
                <w:noProof/>
                <w:webHidden/>
              </w:rPr>
            </w:r>
            <w:r w:rsidR="00B44D8D">
              <w:rPr>
                <w:noProof/>
                <w:webHidden/>
              </w:rPr>
              <w:fldChar w:fldCharType="separate"/>
            </w:r>
            <w:r w:rsidR="00B44D8D">
              <w:rPr>
                <w:noProof/>
                <w:webHidden/>
              </w:rPr>
              <w:t>6</w:t>
            </w:r>
            <w:r w:rsidR="00B44D8D">
              <w:rPr>
                <w:noProof/>
                <w:webHidden/>
              </w:rPr>
              <w:fldChar w:fldCharType="end"/>
            </w:r>
          </w:hyperlink>
        </w:p>
        <w:p w14:paraId="2058F77D" w14:textId="77777777" w:rsidR="007747EF" w:rsidRPr="00937B7E" w:rsidRDefault="007747EF">
          <w:pPr>
            <w:rPr>
              <w:rFonts w:ascii="Garamond" w:hAnsi="Garamond"/>
              <w:sz w:val="24"/>
              <w:szCs w:val="24"/>
            </w:rPr>
          </w:pPr>
          <w:r w:rsidRPr="00937B7E">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6C2D3E4" w14:textId="23E7553D" w:rsidR="00B44D8D" w:rsidRDefault="00B44D8D" w:rsidP="00B44D8D">
      <w:pPr>
        <w:pStyle w:val="berschrift1"/>
        <w:numPr>
          <w:ilvl w:val="0"/>
          <w:numId w:val="3"/>
        </w:numPr>
        <w:rPr>
          <w:rFonts w:ascii="Garamond" w:hAnsi="Garamond"/>
        </w:rPr>
      </w:pPr>
      <w:bookmarkStart w:id="0" w:name="_Toc23366273"/>
      <w:r>
        <w:rPr>
          <w:rFonts w:ascii="Garamond" w:hAnsi="Garamond"/>
        </w:rPr>
        <w:lastRenderedPageBreak/>
        <w:t>Einleitung</w:t>
      </w:r>
      <w:bookmarkEnd w:id="0"/>
    </w:p>
    <w:p w14:paraId="7CBDD9E7" w14:textId="1A5D5D78" w:rsidR="0015248C" w:rsidRDefault="0015248C" w:rsidP="0015248C"/>
    <w:p w14:paraId="0AD78376" w14:textId="77777777" w:rsidR="0015248C" w:rsidRPr="0015248C" w:rsidRDefault="0015248C" w:rsidP="0015248C"/>
    <w:p w14:paraId="7B4773B1" w14:textId="77777777" w:rsidR="00B44D8D" w:rsidRPr="00B44D8D" w:rsidRDefault="00B44D8D" w:rsidP="00B44D8D"/>
    <w:p w14:paraId="7F2E5165" w14:textId="08DB088F" w:rsidR="00B44D8D" w:rsidRDefault="00B44D8D" w:rsidP="00B44D8D">
      <w:pPr>
        <w:pStyle w:val="berschrift1"/>
        <w:numPr>
          <w:ilvl w:val="0"/>
          <w:numId w:val="3"/>
        </w:numPr>
        <w:rPr>
          <w:rFonts w:ascii="Garamond" w:hAnsi="Garamond"/>
        </w:rPr>
      </w:pPr>
      <w:bookmarkStart w:id="1" w:name="_Toc23366274"/>
      <w:r w:rsidRPr="00B44D8D">
        <w:rPr>
          <w:rFonts w:ascii="Garamond" w:hAnsi="Garamond"/>
        </w:rPr>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14:paraId="55E3FC63" w14:textId="265642C6" w:rsidR="0015248C" w:rsidRDefault="0015248C" w:rsidP="0015248C"/>
    <w:p w14:paraId="564C737B" w14:textId="48BA761F" w:rsidR="0015248C" w:rsidRDefault="0015248C" w:rsidP="0015248C">
      <w:pPr>
        <w:rPr>
          <w:rFonts w:ascii="Garamond" w:hAnsi="Garamond"/>
          <w:sz w:val="24"/>
          <w:szCs w:val="24"/>
        </w:rPr>
      </w:pPr>
      <w:r w:rsidRPr="0015248C">
        <w:rPr>
          <w:rFonts w:ascii="Garamond" w:hAnsi="Garamond"/>
          <w:sz w:val="24"/>
          <w:szCs w:val="24"/>
        </w:rPr>
        <w:t xml:space="preserve">Für </w:t>
      </w:r>
      <w:r>
        <w:rPr>
          <w:rFonts w:ascii="Garamond" w:hAnsi="Garamond"/>
          <w:sz w:val="24"/>
          <w:szCs w:val="24"/>
        </w:rPr>
        <w:t xml:space="preserve">Unternehmen die sich entscheiden Cloud zu nutzen, kommt die Frage auf, ob sie sich für eine private oder eine </w:t>
      </w:r>
      <w:proofErr w:type="spellStart"/>
      <w:r>
        <w:rPr>
          <w:rFonts w:ascii="Garamond" w:hAnsi="Garamond"/>
          <w:sz w:val="24"/>
          <w:szCs w:val="24"/>
        </w:rPr>
        <w:t>public</w:t>
      </w:r>
      <w:proofErr w:type="spellEnd"/>
      <w:r>
        <w:rPr>
          <w:rFonts w:ascii="Garamond" w:hAnsi="Garamond"/>
          <w:sz w:val="24"/>
          <w:szCs w:val="24"/>
        </w:rPr>
        <w:t xml:space="preserve"> Cloud-Lösung entscheiden. </w:t>
      </w:r>
    </w:p>
    <w:p w14:paraId="345265CB" w14:textId="3E583E7A" w:rsidR="0015248C" w:rsidRPr="0015248C"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Es ist auch eine Kombination zur Hybrid-Cloud-Lösung möglich. Normalerweise ha diese Art von Cloud-Lösungen zwei Modelle -IaaS oder Paas.</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2" w:name="_Toc23366275"/>
      <w:r w:rsidRPr="00937B7E">
        <w:rPr>
          <w:rFonts w:ascii="Garamond" w:hAnsi="Garamond"/>
        </w:rPr>
        <w:t>Architekturen (</w:t>
      </w:r>
      <w:proofErr w:type="spellStart"/>
      <w:r w:rsidRPr="00937B7E">
        <w:rPr>
          <w:rFonts w:ascii="Garamond" w:hAnsi="Garamond"/>
        </w:rPr>
        <w:t>single</w:t>
      </w:r>
      <w:proofErr w:type="spellEnd"/>
      <w:r w:rsidRPr="00937B7E">
        <w:rPr>
          <w:rFonts w:ascii="Garamond" w:hAnsi="Garamond"/>
        </w:rPr>
        <w:t xml:space="preserve"> </w:t>
      </w:r>
      <w:proofErr w:type="spellStart"/>
      <w:proofErr w:type="gramStart"/>
      <w:r w:rsidRPr="00937B7E">
        <w:rPr>
          <w:rFonts w:ascii="Garamond" w:hAnsi="Garamond"/>
        </w:rPr>
        <w:t>Tenancy,Virtualisierung</w:t>
      </w:r>
      <w:proofErr w:type="spellEnd"/>
      <w:proofErr w:type="gram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14:paraId="05BE1B6E" w14:textId="77777777" w:rsidR="00B44D8D" w:rsidRPr="00B44D8D" w:rsidRDefault="00B44D8D" w:rsidP="00B44D8D"/>
    <w:p w14:paraId="692EF54B" w14:textId="4278D729" w:rsidR="00B44D8D" w:rsidRDefault="00B44D8D" w:rsidP="00B44D8D">
      <w:pPr>
        <w:pStyle w:val="berschrift1"/>
        <w:numPr>
          <w:ilvl w:val="0"/>
          <w:numId w:val="3"/>
        </w:numPr>
        <w:rPr>
          <w:rFonts w:ascii="Garamond" w:hAnsi="Garamond"/>
        </w:rPr>
      </w:pPr>
      <w:bookmarkStart w:id="3" w:name="_Toc23366276"/>
      <w:r w:rsidRPr="00937B7E">
        <w:rPr>
          <w:rFonts w:ascii="Garamond" w:hAnsi="Garamond"/>
        </w:rPr>
        <w:t>Innovationsgeschwindigkeit</w:t>
      </w:r>
      <w:bookmarkEnd w:id="3"/>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 xml:space="preserve">Cloud-Lösungen werben vor allem mit laufend Updates, die auch laufen. </w:t>
      </w:r>
      <w:r w:rsidRPr="00D079EB">
        <w:rPr>
          <w:rFonts w:ascii="Garamond" w:hAnsi="Garamond"/>
          <w:sz w:val="24"/>
          <w:szCs w:val="24"/>
        </w:rPr>
        <w:t>Einige Anbieter updaten ihr Produkt auch 10 Mal im Jahr. Die Gründe, wieso ein solches Unternehmen relativ viel mehr Aktualisierungen im Vergleich zu einem On-</w:t>
      </w:r>
      <w:proofErr w:type="spellStart"/>
      <w:r w:rsidRPr="00D079EB">
        <w:rPr>
          <w:rFonts w:ascii="Garamond" w:hAnsi="Garamond"/>
          <w:sz w:val="24"/>
          <w:szCs w:val="24"/>
        </w:rPr>
        <w:t>premise</w:t>
      </w:r>
      <w:proofErr w:type="spellEnd"/>
      <w:r w:rsidRPr="00D079EB">
        <w:rPr>
          <w:rFonts w:ascii="Garamond" w:hAnsi="Garamond"/>
          <w:sz w:val="24"/>
          <w:szCs w:val="24"/>
        </w:rPr>
        <w:t xml:space="preserv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0E02921E" w14:textId="0606D6C9" w:rsidR="00FD10EC" w:rsidRPr="00D079EB" w:rsidRDefault="00D079EB" w:rsidP="00FD10EC">
      <w:pPr>
        <w:rPr>
          <w:rFonts w:ascii="Garamond" w:hAnsi="Garamond"/>
          <w:sz w:val="24"/>
          <w:szCs w:val="24"/>
        </w:rPr>
      </w:pPr>
      <w:r w:rsidRPr="00D079EB">
        <w:rPr>
          <w:rFonts w:ascii="Garamond" w:hAnsi="Garamond"/>
          <w:sz w:val="24"/>
          <w:szCs w:val="24"/>
        </w:rPr>
        <w:t xml:space="preserve">Updates verlaufen schnell und einfach, keine Termine mit Kunden um zu </w:t>
      </w:r>
      <w:proofErr w:type="spellStart"/>
      <w:r w:rsidRPr="00D079EB">
        <w:rPr>
          <w:rFonts w:ascii="Garamond" w:hAnsi="Garamond"/>
          <w:sz w:val="24"/>
          <w:szCs w:val="24"/>
        </w:rPr>
        <w:t>Aktualisieren</w:t>
      </w:r>
      <w:proofErr w:type="spellEnd"/>
      <w:r w:rsidRPr="00D079EB">
        <w:rPr>
          <w:rFonts w:ascii="Garamond" w:hAnsi="Garamond"/>
          <w:sz w:val="24"/>
          <w:szCs w:val="24"/>
        </w:rPr>
        <w:t>, macht der Kunde selbst?</w:t>
      </w:r>
    </w:p>
    <w:p w14:paraId="49853023" w14:textId="0AFAD4AB" w:rsidR="00B44D8D" w:rsidRDefault="00B44D8D" w:rsidP="00B44D8D">
      <w:pPr>
        <w:rPr>
          <w:rFonts w:ascii="Garamond" w:hAnsi="Garamond"/>
          <w:sz w:val="24"/>
          <w:szCs w:val="24"/>
        </w:rPr>
      </w:pPr>
    </w:p>
    <w:p w14:paraId="53BD50C7" w14:textId="1849F724" w:rsidR="00D079EB" w:rsidRDefault="00D079EB" w:rsidP="00B44D8D">
      <w:pPr>
        <w:rPr>
          <w:rFonts w:ascii="Garamond" w:hAnsi="Garamond"/>
          <w:sz w:val="24"/>
          <w:szCs w:val="24"/>
        </w:rPr>
      </w:pPr>
    </w:p>
    <w:p w14:paraId="689AD307" w14:textId="456E1BF4" w:rsidR="00D079EB" w:rsidRDefault="00D079EB" w:rsidP="00B44D8D">
      <w:pPr>
        <w:rPr>
          <w:rFonts w:ascii="Garamond" w:hAnsi="Garamond"/>
          <w:sz w:val="24"/>
          <w:szCs w:val="24"/>
        </w:rPr>
      </w:pPr>
    </w:p>
    <w:p w14:paraId="2C33440C" w14:textId="2D7E9F98" w:rsidR="00D079EB" w:rsidRDefault="00D079EB" w:rsidP="00B44D8D">
      <w:pPr>
        <w:rPr>
          <w:rFonts w:ascii="Garamond" w:hAnsi="Garamond"/>
          <w:sz w:val="24"/>
          <w:szCs w:val="24"/>
        </w:rPr>
      </w:pPr>
    </w:p>
    <w:p w14:paraId="6DBD5824" w14:textId="77777777" w:rsidR="00D079EB" w:rsidRPr="00D079EB" w:rsidRDefault="00D079EB"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4" w:name="_Toc23366277"/>
      <w:r w:rsidRPr="00B44D8D">
        <w:rPr>
          <w:rFonts w:ascii="Garamond" w:hAnsi="Garamond"/>
        </w:rPr>
        <w:lastRenderedPageBreak/>
        <w:t>Lizenzvertrag vs. Service Level Agreement</w:t>
      </w:r>
      <w:bookmarkEnd w:id="4"/>
    </w:p>
    <w:p w14:paraId="7ED17B0C" w14:textId="77777777" w:rsidR="00B44D8D" w:rsidRPr="00B44D8D" w:rsidRDefault="00B44D8D" w:rsidP="00B44D8D"/>
    <w:p w14:paraId="456A751E" w14:textId="77777777" w:rsidR="00B44D8D" w:rsidRPr="00937B7E" w:rsidRDefault="00B44D8D" w:rsidP="00B44D8D">
      <w:pPr>
        <w:pStyle w:val="Default"/>
        <w:rPr>
          <w:rFonts w:ascii="Garamond" w:hAnsi="Garamond"/>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ERP-System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Pr>
              <w:rFonts w:ascii="Garamond" w:hAnsi="Garamond"/>
              <w:noProof/>
            </w:rPr>
            <w:t xml:space="preserve"> </w:t>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p>
    <w:p w14:paraId="201BE02F" w14:textId="77777777" w:rsidR="00B44D8D" w:rsidRPr="00937B7E" w:rsidRDefault="00B44D8D" w:rsidP="00B44D8D">
      <w:pPr>
        <w:pStyle w:val="Default"/>
        <w:rPr>
          <w:rFonts w:ascii="Garamond" w:hAnsi="Garamond"/>
        </w:rPr>
      </w:pPr>
    </w:p>
    <w:p w14:paraId="68742E35" w14:textId="0561D207" w:rsidR="00B44D8D"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Pr>
              <w:rFonts w:ascii="Garamond" w:hAnsi="Garamond"/>
              <w:bCs/>
              <w:noProof/>
              <w:shd w:val="clear" w:color="auto" w:fill="FFFFFF"/>
            </w:rPr>
            <w:t xml:space="preserve"> </w:t>
          </w:r>
          <w:r w:rsidRPr="009C5516">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619E635C" w14:textId="1456B8E9" w:rsidR="0015248C" w:rsidRDefault="0015248C" w:rsidP="00B44D8D">
      <w:pPr>
        <w:pStyle w:val="Default"/>
        <w:rPr>
          <w:rFonts w:ascii="Garamond" w:hAnsi="Garamond"/>
        </w:rPr>
      </w:pPr>
    </w:p>
    <w:p w14:paraId="5E00791E" w14:textId="5BF14A51" w:rsidR="0015248C" w:rsidRDefault="0015248C" w:rsidP="00B44D8D">
      <w:pPr>
        <w:pStyle w:val="Default"/>
        <w:rPr>
          <w:rFonts w:ascii="Garamond" w:hAnsi="Garamond"/>
        </w:rPr>
      </w:pPr>
    </w:p>
    <w:p w14:paraId="52BCDDC4" w14:textId="756073DF" w:rsidR="0015248C" w:rsidRDefault="0015248C" w:rsidP="00B44D8D">
      <w:pPr>
        <w:pStyle w:val="Default"/>
        <w:rPr>
          <w:rFonts w:ascii="Garamond" w:hAnsi="Garamond"/>
        </w:rPr>
      </w:pPr>
    </w:p>
    <w:p w14:paraId="104A1DD6" w14:textId="0361616B" w:rsidR="0015248C" w:rsidRDefault="0015248C" w:rsidP="00B44D8D">
      <w:pPr>
        <w:pStyle w:val="Default"/>
        <w:rPr>
          <w:rFonts w:ascii="Garamond" w:hAnsi="Garamond"/>
        </w:rPr>
      </w:pPr>
    </w:p>
    <w:p w14:paraId="49E2EA70" w14:textId="3A7249FD" w:rsidR="0015248C" w:rsidRDefault="0015248C" w:rsidP="00B44D8D">
      <w:pPr>
        <w:pStyle w:val="Default"/>
        <w:rPr>
          <w:rFonts w:ascii="Garamond" w:hAnsi="Garamond"/>
        </w:rPr>
      </w:pPr>
    </w:p>
    <w:p w14:paraId="4D8D4501" w14:textId="0C1DFD37" w:rsidR="0015248C" w:rsidRDefault="0015248C" w:rsidP="00B44D8D">
      <w:pPr>
        <w:pStyle w:val="Default"/>
        <w:rPr>
          <w:rFonts w:ascii="Garamond" w:hAnsi="Garamond"/>
        </w:rPr>
      </w:pPr>
    </w:p>
    <w:p w14:paraId="7587E2FF" w14:textId="46EA9F13" w:rsidR="0015248C" w:rsidRDefault="0015248C" w:rsidP="00B44D8D">
      <w:pPr>
        <w:pStyle w:val="Default"/>
        <w:rPr>
          <w:rFonts w:ascii="Garamond" w:hAnsi="Garamond"/>
        </w:rPr>
      </w:pPr>
    </w:p>
    <w:p w14:paraId="31E58328" w14:textId="170B6E85" w:rsidR="0015248C" w:rsidRDefault="0015248C" w:rsidP="00B44D8D">
      <w:pPr>
        <w:pStyle w:val="Default"/>
        <w:rPr>
          <w:rFonts w:ascii="Garamond" w:hAnsi="Garamond"/>
          <w:bCs/>
          <w:shd w:val="clear" w:color="auto" w:fill="FFFFFF"/>
        </w:rPr>
      </w:pPr>
    </w:p>
    <w:p w14:paraId="2C9BA8A7" w14:textId="6AA1DB51" w:rsidR="00D079EB" w:rsidRDefault="00D079EB" w:rsidP="00B44D8D">
      <w:pPr>
        <w:pStyle w:val="Default"/>
        <w:rPr>
          <w:rFonts w:ascii="Garamond" w:hAnsi="Garamond"/>
          <w:bCs/>
          <w:shd w:val="clear" w:color="auto" w:fill="FFFFFF"/>
        </w:rPr>
      </w:pPr>
    </w:p>
    <w:p w14:paraId="5E67ABA9" w14:textId="400DADD3" w:rsidR="00D079EB" w:rsidRDefault="00D079EB" w:rsidP="00B44D8D">
      <w:pPr>
        <w:pStyle w:val="Default"/>
        <w:rPr>
          <w:rFonts w:ascii="Garamond" w:hAnsi="Garamond"/>
          <w:bCs/>
          <w:shd w:val="clear" w:color="auto" w:fill="FFFFFF"/>
        </w:rPr>
      </w:pPr>
    </w:p>
    <w:p w14:paraId="67D241C1" w14:textId="0B33787C" w:rsidR="00D079EB" w:rsidRDefault="00D079EB" w:rsidP="00B44D8D">
      <w:pPr>
        <w:pStyle w:val="Default"/>
        <w:rPr>
          <w:rFonts w:ascii="Garamond" w:hAnsi="Garamond"/>
          <w:bCs/>
          <w:shd w:val="clear" w:color="auto" w:fill="FFFFFF"/>
        </w:rPr>
      </w:pPr>
    </w:p>
    <w:p w14:paraId="50A1DD3A" w14:textId="2613855F" w:rsidR="00D079EB" w:rsidRDefault="00D079EB" w:rsidP="00B44D8D">
      <w:pPr>
        <w:pStyle w:val="Default"/>
        <w:rPr>
          <w:rFonts w:ascii="Garamond" w:hAnsi="Garamond"/>
          <w:bCs/>
          <w:shd w:val="clear" w:color="auto" w:fill="FFFFFF"/>
        </w:rPr>
      </w:pPr>
    </w:p>
    <w:p w14:paraId="55F061BB" w14:textId="44701127" w:rsidR="00D079EB" w:rsidRDefault="00D079EB" w:rsidP="00B44D8D">
      <w:pPr>
        <w:pStyle w:val="Default"/>
        <w:rPr>
          <w:rFonts w:ascii="Garamond" w:hAnsi="Garamond"/>
          <w:bCs/>
          <w:shd w:val="clear" w:color="auto" w:fill="FFFFFF"/>
        </w:rPr>
      </w:pPr>
    </w:p>
    <w:p w14:paraId="1A4EE381" w14:textId="2479F2CF" w:rsidR="00D079EB" w:rsidRDefault="00D079EB" w:rsidP="00B44D8D">
      <w:pPr>
        <w:pStyle w:val="Default"/>
        <w:rPr>
          <w:rFonts w:ascii="Garamond" w:hAnsi="Garamond"/>
          <w:bCs/>
          <w:shd w:val="clear" w:color="auto" w:fill="FFFFFF"/>
        </w:rPr>
      </w:pPr>
    </w:p>
    <w:p w14:paraId="7564A778" w14:textId="43EC5DB3" w:rsidR="00D079EB" w:rsidRDefault="00D079EB" w:rsidP="00B44D8D">
      <w:pPr>
        <w:pStyle w:val="Default"/>
        <w:rPr>
          <w:rFonts w:ascii="Garamond" w:hAnsi="Garamond"/>
          <w:bCs/>
          <w:shd w:val="clear" w:color="auto" w:fill="FFFFFF"/>
        </w:rPr>
      </w:pPr>
    </w:p>
    <w:p w14:paraId="5DD36455" w14:textId="699CA97D" w:rsidR="00D079EB" w:rsidRDefault="00D079EB" w:rsidP="00B44D8D">
      <w:pPr>
        <w:pStyle w:val="Default"/>
        <w:rPr>
          <w:rFonts w:ascii="Garamond" w:hAnsi="Garamond"/>
          <w:bCs/>
          <w:shd w:val="clear" w:color="auto" w:fill="FFFFFF"/>
        </w:rPr>
      </w:pPr>
    </w:p>
    <w:p w14:paraId="3A1EFE99" w14:textId="2E544A9D" w:rsidR="00D079EB" w:rsidRDefault="00D079EB" w:rsidP="00B44D8D">
      <w:pPr>
        <w:pStyle w:val="Default"/>
        <w:rPr>
          <w:rFonts w:ascii="Garamond" w:hAnsi="Garamond"/>
          <w:bCs/>
          <w:shd w:val="clear" w:color="auto" w:fill="FFFFFF"/>
        </w:rPr>
      </w:pPr>
    </w:p>
    <w:p w14:paraId="72BF2859" w14:textId="0F41A233" w:rsidR="00D079EB" w:rsidRDefault="00D079EB" w:rsidP="00B44D8D">
      <w:pPr>
        <w:pStyle w:val="Default"/>
        <w:rPr>
          <w:rFonts w:ascii="Garamond" w:hAnsi="Garamond"/>
          <w:bCs/>
          <w:shd w:val="clear" w:color="auto" w:fill="FFFFFF"/>
        </w:rPr>
      </w:pPr>
    </w:p>
    <w:p w14:paraId="63F836F2" w14:textId="4D96AB00" w:rsidR="00D079EB" w:rsidRDefault="00D079EB" w:rsidP="00B44D8D">
      <w:pPr>
        <w:pStyle w:val="Default"/>
        <w:rPr>
          <w:rFonts w:ascii="Garamond" w:hAnsi="Garamond"/>
          <w:bCs/>
          <w:shd w:val="clear" w:color="auto" w:fill="FFFFFF"/>
        </w:rPr>
      </w:pPr>
    </w:p>
    <w:p w14:paraId="282B0EDF" w14:textId="28452B6A" w:rsidR="00D079EB" w:rsidRDefault="00D079EB" w:rsidP="00B44D8D">
      <w:pPr>
        <w:pStyle w:val="Default"/>
        <w:rPr>
          <w:rFonts w:ascii="Garamond" w:hAnsi="Garamond"/>
          <w:bCs/>
          <w:shd w:val="clear" w:color="auto" w:fill="FFFFFF"/>
        </w:rPr>
      </w:pPr>
    </w:p>
    <w:p w14:paraId="009F4DB7" w14:textId="76C1930C" w:rsidR="00D079EB" w:rsidRDefault="00D079EB" w:rsidP="00B44D8D">
      <w:pPr>
        <w:pStyle w:val="Default"/>
        <w:rPr>
          <w:rFonts w:ascii="Garamond" w:hAnsi="Garamond"/>
          <w:bCs/>
          <w:shd w:val="clear" w:color="auto" w:fill="FFFFFF"/>
        </w:rPr>
      </w:pPr>
    </w:p>
    <w:p w14:paraId="7B33203A" w14:textId="77777777" w:rsidR="00D079EB" w:rsidRPr="00937B7E" w:rsidRDefault="00D079EB" w:rsidP="00B44D8D">
      <w:pPr>
        <w:pStyle w:val="Default"/>
        <w:rPr>
          <w:rFonts w:ascii="Garamond" w:hAnsi="Garamond"/>
          <w:bCs/>
          <w:shd w:val="clear" w:color="auto" w:fill="FFFFFF"/>
        </w:rPr>
      </w:pPr>
    </w:p>
    <w:p w14:paraId="4C1D9DDD" w14:textId="5287B588" w:rsidR="00B44D8D" w:rsidRDefault="00B44D8D" w:rsidP="00B44D8D">
      <w:pPr>
        <w:pStyle w:val="berschrift1"/>
        <w:numPr>
          <w:ilvl w:val="0"/>
          <w:numId w:val="3"/>
        </w:numPr>
        <w:rPr>
          <w:rFonts w:ascii="Garamond" w:hAnsi="Garamond"/>
        </w:rPr>
      </w:pPr>
      <w:bookmarkStart w:id="5" w:name="_Toc23366278"/>
      <w:r w:rsidRPr="00937B7E">
        <w:rPr>
          <w:rFonts w:ascii="Garamond" w:hAnsi="Garamond"/>
        </w:rPr>
        <w:lastRenderedPageBreak/>
        <w:t>Strategien klassischer Softwareanbieter für den Wechsel zur Cloud</w:t>
      </w:r>
      <w:bookmarkEnd w:id="5"/>
    </w:p>
    <w:p w14:paraId="0C0C591A" w14:textId="655A196B" w:rsidR="0015248C" w:rsidRPr="0015248C" w:rsidRDefault="0015248C" w:rsidP="0015248C"/>
    <w:p w14:paraId="559B27CB" w14:textId="132EBEA5" w:rsidR="0015248C" w:rsidRPr="00763E0B" w:rsidRDefault="00D079EB" w:rsidP="0015248C">
      <w:pPr>
        <w:jc w:val="both"/>
        <w:rPr>
          <w:rFonts w:ascii="Garamond" w:hAnsi="Garamond"/>
          <w:sz w:val="24"/>
          <w:szCs w:val="24"/>
        </w:rPr>
      </w:pPr>
      <w:r w:rsidRPr="00763E0B">
        <w:rPr>
          <w:noProof/>
          <w:sz w:val="24"/>
          <w:szCs w:val="24"/>
        </w:rPr>
        <w:drawing>
          <wp:anchor distT="0" distB="0" distL="114300" distR="114300" simplePos="0" relativeHeight="251659264" behindDoc="0" locked="0" layoutInCell="1" allowOverlap="1" wp14:anchorId="4A96478A" wp14:editId="500C42D6">
            <wp:simplePos x="0" y="0"/>
            <wp:positionH relativeFrom="margin">
              <wp:posOffset>2564765</wp:posOffset>
            </wp:positionH>
            <wp:positionV relativeFrom="margin">
              <wp:posOffset>1228725</wp:posOffset>
            </wp:positionV>
            <wp:extent cx="3752850" cy="2390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400" t="21174" r="42957" b="28248"/>
                    <a:stretch/>
                  </pic:blipFill>
                  <pic:spPr bwMode="auto">
                    <a:xfrm>
                      <a:off x="0" y="0"/>
                      <a:ext cx="375285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48C" w:rsidRPr="00763E0B">
        <w:rPr>
          <w:noProof/>
          <w:sz w:val="24"/>
          <w:szCs w:val="24"/>
        </w:rPr>
        <mc:AlternateContent>
          <mc:Choice Requires="wps">
            <w:drawing>
              <wp:anchor distT="0" distB="0" distL="114300" distR="114300" simplePos="0" relativeHeight="251660288" behindDoc="0" locked="0" layoutInCell="1" allowOverlap="1" wp14:anchorId="03DACCFE" wp14:editId="7B3D5E7D">
                <wp:simplePos x="0" y="0"/>
                <wp:positionH relativeFrom="column">
                  <wp:posOffset>2640330</wp:posOffset>
                </wp:positionH>
                <wp:positionV relativeFrom="paragraph">
                  <wp:posOffset>2558415</wp:posOffset>
                </wp:positionV>
                <wp:extent cx="3752850" cy="40386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403860"/>
                        </a:xfrm>
                        <a:prstGeom prst="rect">
                          <a:avLst/>
                        </a:prstGeom>
                        <a:solidFill>
                          <a:prstClr val="white"/>
                        </a:solidFill>
                        <a:ln>
                          <a:noFill/>
                        </a:ln>
                      </wps:spPr>
                      <wps:txbx>
                        <w:txbxContent>
                          <w:p w14:paraId="7AE1AE9E" w14:textId="559B0C9B" w:rsidR="0015248C" w:rsidRDefault="0015248C" w:rsidP="0015248C">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2011 Serververteilung von Softwareanbietern</w:t>
                            </w:r>
                          </w:p>
                          <w:p w14:paraId="383F77DE" w14:textId="0A0E613B" w:rsidR="0015248C" w:rsidRPr="0015248C" w:rsidRDefault="0015248C" w:rsidP="0015248C">
                            <w:r>
                              <w:t>SMB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DACCFE" id="_x0000_t202" coordsize="21600,21600" o:spt="202" path="m,l,21600r21600,l21600,xe">
                <v:stroke joinstyle="miter"/>
                <v:path gradientshapeok="t" o:connecttype="rect"/>
              </v:shapetype>
              <v:shape id="Textfeld 2" o:spid="_x0000_s1026" type="#_x0000_t202" style="position:absolute;left:0;text-align:left;margin-left:207.9pt;margin-top:201.45pt;width:295.5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uxMQIAAGAEAAAOAAAAZHJzL2Uyb0RvYy54bWysVFFv2yAQfp+0/4B4X5ykax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" stroked="f">
                <v:textbox inset="0,0,0,0">
                  <w:txbxContent>
                    <w:p w14:paraId="7AE1AE9E" w14:textId="559B0C9B" w:rsidR="0015248C" w:rsidRDefault="0015248C" w:rsidP="0015248C">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2011 Serververteilung von Softwareanbietern</w:t>
                      </w:r>
                    </w:p>
                    <w:p w14:paraId="383F77DE" w14:textId="0A0E613B" w:rsidR="0015248C" w:rsidRPr="0015248C" w:rsidRDefault="0015248C" w:rsidP="0015248C">
                      <w:r>
                        <w:t>SMB</w:t>
                      </w:r>
                    </w:p>
                  </w:txbxContent>
                </v:textbox>
                <w10:wrap type="square"/>
              </v:shape>
            </w:pict>
          </mc:Fallback>
        </mc:AlternateContent>
      </w:r>
      <w:r w:rsidR="0015248C"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77777777"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77777777" w:rsidR="0015248C" w:rsidRDefault="0015248C" w:rsidP="0015248C">
      <w:pPr>
        <w:rPr>
          <w:rFonts w:ascii="Garamond" w:hAnsi="Garamond"/>
          <w:sz w:val="24"/>
          <w:szCs w:val="24"/>
        </w:rPr>
      </w:pPr>
      <w:r w:rsidRPr="00763E0B">
        <w:rPr>
          <w:rFonts w:ascii="Garamond" w:hAnsi="Garamond"/>
          <w:sz w:val="24"/>
          <w:szCs w:val="24"/>
        </w:rPr>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77777777" w:rsidR="0015248C" w:rsidRDefault="0015248C" w:rsidP="0015248C">
      <w:pPr>
        <w:rPr>
          <w:rFonts w:ascii="Garamond" w:hAnsi="Garamond"/>
          <w:sz w:val="24"/>
          <w:szCs w:val="24"/>
        </w:rPr>
      </w:pPr>
      <w:r>
        <w:rPr>
          <w:rFonts w:ascii="Garamond" w:hAnsi="Garamond"/>
          <w:sz w:val="24"/>
          <w:szCs w:val="24"/>
        </w:rPr>
        <w:t>4.2 Adobe</w:t>
      </w:r>
    </w:p>
    <w:p w14:paraId="5233D683" w14:textId="77777777"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77777777" w:rsidR="0015248C" w:rsidRPr="0015248C" w:rsidRDefault="0015248C" w:rsidP="0015248C"/>
    <w:p w14:paraId="273E15BB" w14:textId="016CF5BB" w:rsidR="00B44D8D" w:rsidRDefault="00B44D8D" w:rsidP="00B44D8D"/>
    <w:p w14:paraId="4C1BCAF8" w14:textId="77777777" w:rsidR="00D079EB" w:rsidRPr="00B44D8D" w:rsidRDefault="00D079EB" w:rsidP="00B44D8D"/>
    <w:p w14:paraId="13D476BC" w14:textId="77777777" w:rsidR="00B44D8D" w:rsidRDefault="00B44D8D" w:rsidP="00B44D8D">
      <w:pPr>
        <w:pStyle w:val="berschrift1"/>
        <w:numPr>
          <w:ilvl w:val="0"/>
          <w:numId w:val="3"/>
        </w:numPr>
        <w:rPr>
          <w:rFonts w:ascii="Garamond" w:hAnsi="Garamond"/>
        </w:rPr>
      </w:pPr>
      <w:bookmarkStart w:id="6" w:name="_Toc23366279"/>
      <w:r w:rsidRPr="00937B7E">
        <w:rPr>
          <w:rFonts w:ascii="Garamond" w:hAnsi="Garamond"/>
        </w:rPr>
        <w:lastRenderedPageBreak/>
        <w:t>Legale Randbedingungen</w:t>
      </w:r>
      <w:bookmarkEnd w:id="6"/>
    </w:p>
    <w:p w14:paraId="58DBCEEE" w14:textId="77777777" w:rsidR="00F96815" w:rsidRPr="00F96815" w:rsidRDefault="00F96815" w:rsidP="00F96815"/>
    <w:p w14:paraId="039E68FD" w14:textId="77777777"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ERP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and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7" w:name="_Toc23366280"/>
      <w:r w:rsidRPr="00937B7E">
        <w:rPr>
          <w:rFonts w:ascii="Garamond" w:hAnsi="Garamond"/>
        </w:rPr>
        <w:t>Anpassung an Benutzeranforderungen</w:t>
      </w:r>
      <w:bookmarkEnd w:id="7"/>
    </w:p>
    <w:p w14:paraId="2EEA2335" w14:textId="67557C8C" w:rsidR="00FD10EC" w:rsidRDefault="00FD10EC" w:rsidP="00FD10EC"/>
    <w:p w14:paraId="2813687B" w14:textId="77777777" w:rsidR="00FD10EC" w:rsidRP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Heutzutage wird vor allem Standardsoftware entwickelt, die von einer Vielzahl von Nutzern genutzt werden kann. Die Anpassung an Kundenwünsche ist nicht nur teuer, da sie von dem Cloud-Lösung-Anbieter übernommen werden muss, sondern auch sehr komplex. Die genaue Abstimmung kann nur erfolgen durch zahlreiche Kundengespräche und daraus folgenden Prüfungen, ob dieses Ergebnis erreicht werden kann und ob dies mit den Anforderungen übereinstimmt. </w:t>
      </w:r>
    </w:p>
    <w:p w14:paraId="5597EDF6" w14:textId="77777777" w:rsidR="00FD10EC" w:rsidRPr="00FD10EC" w:rsidRDefault="00FD10EC" w:rsidP="00FD10EC">
      <w:pPr>
        <w:rPr>
          <w:rFonts w:ascii="Garamond" w:hAnsi="Garamond"/>
          <w:sz w:val="24"/>
          <w:szCs w:val="24"/>
        </w:rPr>
      </w:pPr>
    </w:p>
    <w:p w14:paraId="64305EE6" w14:textId="77777777" w:rsidR="00B44D8D" w:rsidRPr="00B44D8D" w:rsidRDefault="00B44D8D" w:rsidP="00B44D8D"/>
    <w:p w14:paraId="2EB58EEC" w14:textId="77777777" w:rsidR="00B44D8D" w:rsidRDefault="00B44D8D" w:rsidP="00B44D8D">
      <w:pPr>
        <w:pStyle w:val="berschrift1"/>
        <w:numPr>
          <w:ilvl w:val="0"/>
          <w:numId w:val="3"/>
        </w:numPr>
        <w:rPr>
          <w:rStyle w:val="berschrift1Zchn"/>
          <w:rFonts w:ascii="Garamond" w:hAnsi="Garamond"/>
        </w:rPr>
      </w:pPr>
      <w:bookmarkStart w:id="8" w:name="_Toc23366281"/>
      <w:r w:rsidRPr="00937B7E">
        <w:rPr>
          <w:rStyle w:val="berschrift1Zchn"/>
          <w:rFonts w:ascii="Garamond" w:hAnsi="Garamond"/>
        </w:rPr>
        <w:t>Geschäftsmodellaspekte für den Anbieter (Cash Flow, verbriefter Umsatz)</w:t>
      </w:r>
      <w:bookmarkEnd w:id="8"/>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Bei ERP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and support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annual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55D8FC22" w14:textId="004D7A99" w:rsidR="0015248C" w:rsidRDefault="0015248C" w:rsidP="00B44D8D">
      <w:pPr>
        <w:pStyle w:val="Listenabsatz"/>
        <w:ind w:left="360"/>
      </w:pPr>
    </w:p>
    <w:p w14:paraId="3764F5AE" w14:textId="47FD9129" w:rsidR="0015248C" w:rsidRDefault="0015248C" w:rsidP="00B44D8D">
      <w:pPr>
        <w:pStyle w:val="Listenabsatz"/>
        <w:ind w:left="360"/>
      </w:pPr>
    </w:p>
    <w:p w14:paraId="65B6A3DD" w14:textId="0A9090FC" w:rsidR="0015248C" w:rsidRDefault="0015248C" w:rsidP="00B44D8D">
      <w:pPr>
        <w:pStyle w:val="Listenabsatz"/>
        <w:ind w:left="360"/>
      </w:pPr>
    </w:p>
    <w:p w14:paraId="59D91F14" w14:textId="388DFB9D" w:rsidR="0015248C" w:rsidRDefault="0015248C" w:rsidP="00B44D8D">
      <w:pPr>
        <w:pStyle w:val="Listenabsatz"/>
        <w:ind w:left="360"/>
      </w:pPr>
    </w:p>
    <w:p w14:paraId="39FA91E6" w14:textId="6586F33D" w:rsidR="0015248C" w:rsidRDefault="0015248C" w:rsidP="00B44D8D">
      <w:pPr>
        <w:pStyle w:val="Listenabsatz"/>
        <w:ind w:left="360"/>
      </w:pPr>
    </w:p>
    <w:p w14:paraId="052E5590" w14:textId="4DDDD169" w:rsidR="00D079EB" w:rsidRDefault="00D079EB" w:rsidP="00B44D8D">
      <w:pPr>
        <w:pStyle w:val="Listenabsatz"/>
        <w:ind w:left="360"/>
      </w:pPr>
    </w:p>
    <w:p w14:paraId="51B7903F" w14:textId="5A8F1E69" w:rsidR="00D079EB" w:rsidRDefault="00D079EB" w:rsidP="00B44D8D">
      <w:pPr>
        <w:pStyle w:val="Listenabsatz"/>
        <w:ind w:left="360"/>
      </w:pPr>
    </w:p>
    <w:p w14:paraId="3F8E8ABF" w14:textId="77777777" w:rsidR="00D079EB" w:rsidRPr="00B44D8D" w:rsidRDefault="00D079EB" w:rsidP="00B44D8D">
      <w:pPr>
        <w:pStyle w:val="Listenabsatz"/>
        <w:ind w:left="360"/>
      </w:pPr>
      <w:bookmarkStart w:id="9" w:name="_GoBack"/>
      <w:bookmarkEnd w:id="9"/>
    </w:p>
    <w:p w14:paraId="7DEC9504" w14:textId="77777777" w:rsidR="00B44D8D" w:rsidRDefault="00B44D8D" w:rsidP="00B44D8D">
      <w:pPr>
        <w:pStyle w:val="berschrift1"/>
        <w:numPr>
          <w:ilvl w:val="0"/>
          <w:numId w:val="3"/>
        </w:numPr>
        <w:rPr>
          <w:rFonts w:ascii="Garamond" w:hAnsi="Garamond"/>
        </w:rPr>
      </w:pPr>
      <w:bookmarkStart w:id="10" w:name="_Toc23366282"/>
      <w:r w:rsidRPr="00937B7E">
        <w:rPr>
          <w:rFonts w:ascii="Garamond" w:hAnsi="Garamond"/>
        </w:rPr>
        <w:lastRenderedPageBreak/>
        <w:t>Cloud und IT-Abteilung</w:t>
      </w:r>
      <w:bookmarkEnd w:id="10"/>
    </w:p>
    <w:p w14:paraId="781DBA21" w14:textId="77777777" w:rsidR="00F96815" w:rsidRPr="00F96815" w:rsidRDefault="00F96815" w:rsidP="00F96815"/>
    <w:p w14:paraId="277A719C"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vom  gesamten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27258074"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and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Pr="00F96815">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ERP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Many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(Schneider,2019).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and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S.8.). Diese Verbesserung des Arbeitsalltags ermöglicht den IT Fachkräften das Konzentrieren auf wichtigere und komplexere Geschäftsprozesse.</w:t>
      </w:r>
    </w:p>
    <w:p w14:paraId="64BD9B89" w14:textId="288B57B5" w:rsidR="0015248C" w:rsidRDefault="0015248C" w:rsidP="00F96815">
      <w:pPr>
        <w:rPr>
          <w:rFonts w:ascii="Garamond" w:hAnsi="Garamond"/>
          <w:sz w:val="24"/>
          <w:szCs w:val="24"/>
        </w:rPr>
      </w:pPr>
    </w:p>
    <w:p w14:paraId="04B07CD8" w14:textId="01B225E4" w:rsidR="0015248C" w:rsidRDefault="0015248C" w:rsidP="00F96815">
      <w:pPr>
        <w:rPr>
          <w:rFonts w:ascii="Garamond" w:hAnsi="Garamond"/>
          <w:sz w:val="24"/>
          <w:szCs w:val="24"/>
        </w:rPr>
      </w:pPr>
    </w:p>
    <w:p w14:paraId="2A6450E1" w14:textId="657F924B" w:rsidR="0015248C" w:rsidRDefault="0015248C" w:rsidP="00F96815">
      <w:pPr>
        <w:rPr>
          <w:rFonts w:ascii="Garamond" w:hAnsi="Garamond"/>
          <w:sz w:val="24"/>
          <w:szCs w:val="24"/>
        </w:rPr>
      </w:pPr>
    </w:p>
    <w:p w14:paraId="6A1C2DD2" w14:textId="5616C4AD" w:rsidR="0015248C" w:rsidRDefault="0015248C" w:rsidP="00F96815">
      <w:pPr>
        <w:rPr>
          <w:rFonts w:ascii="Garamond" w:hAnsi="Garamond"/>
          <w:sz w:val="24"/>
          <w:szCs w:val="24"/>
        </w:rPr>
      </w:pPr>
    </w:p>
    <w:p w14:paraId="4284168F" w14:textId="60625380" w:rsidR="0015248C"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57A9BDA7" w14:textId="25DD8324"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4F93D029" w14:textId="77777777" w:rsidR="00B44D8D" w:rsidRDefault="00B44D8D" w:rsidP="00B44D8D">
      <w:pPr>
        <w:pStyle w:val="berschrift1"/>
        <w:numPr>
          <w:ilvl w:val="0"/>
          <w:numId w:val="3"/>
        </w:numPr>
        <w:rPr>
          <w:rFonts w:ascii="Garamond" w:hAnsi="Garamond"/>
        </w:rPr>
      </w:pPr>
      <w:r>
        <w:rPr>
          <w:rFonts w:ascii="Garamond" w:hAnsi="Garamond"/>
        </w:rPr>
        <w:lastRenderedPageBreak/>
        <w:t xml:space="preserve"> </w:t>
      </w:r>
      <w:bookmarkStart w:id="11" w:name="_Toc23366283"/>
      <w:r w:rsidRPr="00937B7E">
        <w:rPr>
          <w:rFonts w:ascii="Garamond" w:hAnsi="Garamond"/>
        </w:rPr>
        <w:t>Kundenbindung und Anbieterwechsel</w:t>
      </w:r>
      <w:bookmarkEnd w:id="11"/>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7777777" w:rsidR="0015248C" w:rsidRDefault="0015248C" w:rsidP="0015248C">
      <w:pPr>
        <w:rPr>
          <w:rFonts w:ascii="Garamond" w:hAnsi="Garamond"/>
          <w:sz w:val="18"/>
          <w:szCs w:val="18"/>
        </w:rPr>
      </w:pPr>
      <w:r w:rsidRPr="00C53A51">
        <w:rPr>
          <w:rFonts w:ascii="Garamond" w:hAnsi="Garamond"/>
          <w:sz w:val="24"/>
          <w:szCs w:val="24"/>
        </w:rPr>
        <w:t>Auch wenn der Kunde auf diese Daten im Allgemeine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2" w:name="_Toc23366284"/>
      <w:r>
        <w:rPr>
          <w:rFonts w:ascii="Garamond" w:hAnsi="Garamond"/>
        </w:rPr>
        <w:t>Schluss</w:t>
      </w:r>
      <w:bookmarkEnd w:id="12"/>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3" w:name="_Toc23366285" w:displacedByCustomXml="next"/>
    <w:sdt>
      <w:sdtPr>
        <w:rPr>
          <w:rFonts w:asciiTheme="minorHAnsi" w:eastAsiaTheme="minorHAnsi" w:hAnsiTheme="minorHAnsi" w:cstheme="minorBidi"/>
          <w:color w:val="auto"/>
          <w:sz w:val="22"/>
          <w:szCs w:val="22"/>
        </w:rPr>
        <w:id w:val="-1108740990"/>
        <w:docPartObj>
          <w:docPartGallery w:val="Bibliographies"/>
          <w:docPartUnique/>
        </w:docPartObj>
      </w:sdtPr>
      <w:sdtEndPr/>
      <w:sdtContent>
        <w:p w14:paraId="678C184E" w14:textId="77777777" w:rsidR="008A7F84" w:rsidRDefault="008A7F84">
          <w:pPr>
            <w:pStyle w:val="berschrift1"/>
          </w:pPr>
          <w:r>
            <w:t>Literaturverzeichnis</w:t>
          </w:r>
          <w:bookmarkEnd w:id="13"/>
        </w:p>
        <w:sdt>
          <w:sdtPr>
            <w:id w:val="111145805"/>
            <w:bibliography/>
          </w:sdtPr>
          <w:sdtEndPr/>
          <w:sdtContent>
            <w:p w14:paraId="048D5968" w14:textId="77777777" w:rsidR="009C5516" w:rsidRDefault="008A7F84" w:rsidP="009C5516">
              <w:pPr>
                <w:pStyle w:val="Literaturverzeichnis"/>
                <w:ind w:left="720" w:hanging="720"/>
                <w:rPr>
                  <w:noProof/>
                  <w:sz w:val="24"/>
                  <w:szCs w:val="24"/>
                </w:rPr>
              </w:pPr>
              <w:r>
                <w:fldChar w:fldCharType="begin"/>
              </w:r>
              <w:r>
                <w:instrText>BIBLIOGRAPHY</w:instrText>
              </w:r>
              <w:r>
                <w:fldChar w:fldCharType="separate"/>
              </w:r>
              <w:r w:rsidR="009C5516">
                <w:rPr>
                  <w:noProof/>
                </w:rPr>
                <w:t xml:space="preserve">Augsten, S. (2017). Definition „SLA“ Was sind Service Level Agreements? </w:t>
              </w:r>
              <w:r w:rsidR="009C5516">
                <w:rPr>
                  <w:i/>
                  <w:iCs/>
                  <w:noProof/>
                </w:rPr>
                <w:t>dev Insider</w:t>
              </w:r>
              <w:r w:rsidR="009C5516">
                <w:rPr>
                  <w:noProof/>
                </w:rPr>
                <w:t>. Abgerufen am 30. 10 2019 von https://www.dev-insider.de/was-sind-service-level-agreements-a-640662/</w:t>
              </w:r>
            </w:p>
            <w:p w14:paraId="3DABA1EE" w14:textId="77777777" w:rsidR="009C5516" w:rsidRDefault="009C5516" w:rsidP="009C5516">
              <w:pPr>
                <w:pStyle w:val="Literaturverzeichnis"/>
                <w:ind w:left="720" w:hanging="720"/>
                <w:rPr>
                  <w:noProof/>
                </w:rPr>
              </w:pPr>
              <w:r>
                <w:rPr>
                  <w:noProof/>
                </w:rPr>
                <w:t xml:space="preserve">Gross, J. (2012). SaaS versus on-premise ERP. </w:t>
              </w:r>
              <w:r>
                <w:rPr>
                  <w:i/>
                  <w:iCs/>
                  <w:noProof/>
                </w:rPr>
                <w:t>Ziff Davis B2B</w:t>
              </w:r>
              <w:r>
                <w:rPr>
                  <w:noProof/>
                </w:rPr>
                <w:t>.</w:t>
              </w:r>
            </w:p>
            <w:p w14:paraId="7C6FF54F" w14:textId="77777777" w:rsidR="009C5516" w:rsidRDefault="009C5516" w:rsidP="009C5516">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6E22CD56" w14:textId="77777777" w:rsidR="008A7F84" w:rsidRDefault="008A7F84" w:rsidP="009C5516">
              <w:r>
                <w:rPr>
                  <w:b/>
                  <w:bCs/>
                </w:rPr>
                <w:fldChar w:fldCharType="end"/>
              </w:r>
            </w:p>
          </w:sdtContent>
        </w:sdt>
      </w:sdtContent>
    </w:sdt>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7777777" w:rsidR="00937B7E" w:rsidRPr="00937B7E" w:rsidRDefault="00937B7E" w:rsidP="00487A97">
      <w:pPr>
        <w:rPr>
          <w:rFonts w:ascii="Garamond" w:hAnsi="Garamond"/>
          <w:sz w:val="24"/>
          <w:szCs w:val="24"/>
        </w:rPr>
      </w:pPr>
    </w:p>
    <w:sectPr w:rsidR="00937B7E" w:rsidRPr="00937B7E" w:rsidSect="00937B7E">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1955" w14:textId="77777777" w:rsidR="00F27D5B" w:rsidRDefault="00F27D5B" w:rsidP="00937B7E">
      <w:pPr>
        <w:spacing w:after="0" w:line="240" w:lineRule="auto"/>
      </w:pPr>
      <w:r>
        <w:separator/>
      </w:r>
    </w:p>
  </w:endnote>
  <w:endnote w:type="continuationSeparator" w:id="0">
    <w:p w14:paraId="749654E6" w14:textId="77777777" w:rsidR="00F27D5B" w:rsidRDefault="00F27D5B"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7488"/>
      <w:docPartObj>
        <w:docPartGallery w:val="Page Numbers (Bottom of Page)"/>
        <w:docPartUnique/>
      </w:docPartObj>
    </w:sdtPr>
    <w:sdtEndPr/>
    <w:sdtContent>
      <w:p w14:paraId="7F7C7384" w14:textId="77777777" w:rsidR="00937B7E" w:rsidRDefault="00937B7E">
        <w:pPr>
          <w:pStyle w:val="Fuzeile"/>
          <w:jc w:val="right"/>
        </w:pPr>
        <w:r>
          <w:fldChar w:fldCharType="begin"/>
        </w:r>
        <w:r>
          <w:instrText>PAGE   \* MERGEFORMAT</w:instrText>
        </w:r>
        <w:r>
          <w:fldChar w:fldCharType="separate"/>
        </w:r>
        <w:r w:rsidR="008644D3">
          <w:rPr>
            <w:noProof/>
          </w:rPr>
          <w:t>6</w:t>
        </w:r>
        <w:r>
          <w:fldChar w:fldCharType="end"/>
        </w:r>
      </w:p>
    </w:sdtContent>
  </w:sdt>
  <w:p w14:paraId="64687C7F" w14:textId="77777777" w:rsidR="00937B7E" w:rsidRDefault="00937B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6D861" w14:textId="77777777" w:rsidR="00F27D5B" w:rsidRDefault="00F27D5B" w:rsidP="00937B7E">
      <w:pPr>
        <w:spacing w:after="0" w:line="240" w:lineRule="auto"/>
      </w:pPr>
      <w:r>
        <w:separator/>
      </w:r>
    </w:p>
  </w:footnote>
  <w:footnote w:type="continuationSeparator" w:id="0">
    <w:p w14:paraId="6E426625" w14:textId="77777777" w:rsidR="00F27D5B" w:rsidRDefault="00F27D5B"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1365DE"/>
    <w:rsid w:val="0015248C"/>
    <w:rsid w:val="004652B4"/>
    <w:rsid w:val="00487A97"/>
    <w:rsid w:val="004B1D48"/>
    <w:rsid w:val="007747EF"/>
    <w:rsid w:val="008644D3"/>
    <w:rsid w:val="008A7F84"/>
    <w:rsid w:val="008D28A0"/>
    <w:rsid w:val="00937B7E"/>
    <w:rsid w:val="009C5516"/>
    <w:rsid w:val="00B20C4E"/>
    <w:rsid w:val="00B44D8D"/>
    <w:rsid w:val="00BE5C42"/>
    <w:rsid w:val="00D079EB"/>
    <w:rsid w:val="00F27D5B"/>
    <w:rsid w:val="00F96815"/>
    <w:rsid w:val="00FD1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1</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2</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3</b:RefOrder>
  </b:Source>
</b:Sources>
</file>

<file path=customXml/itemProps1.xml><?xml version="1.0" encoding="utf-8"?>
<ds:datastoreItem xmlns:ds="http://schemas.openxmlformats.org/officeDocument/2006/customXml" ds:itemID="{55DA7F29-B043-4158-ABC3-E64EB010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1998</Words>
  <Characters>12590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7</cp:revision>
  <dcterms:created xsi:type="dcterms:W3CDTF">2019-10-26T13:30:00Z</dcterms:created>
  <dcterms:modified xsi:type="dcterms:W3CDTF">2019-10-30T22:39:00Z</dcterms:modified>
</cp:coreProperties>
</file>