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the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Alexandra Ricolleau-Rumpf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Katharina Bockmair</w:t>
      </w:r>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3029AE65"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A41E2F">
        <w:rPr>
          <w:rFonts w:ascii="Garamond" w:hAnsi="Garamond"/>
          <w:noProof/>
          <w:sz w:val="28"/>
          <w:szCs w:val="28"/>
        </w:rPr>
        <w:t>6. November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0C5CB491" w14:textId="77777777" w:rsidR="00703252"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954511" w:history="1">
            <w:r w:rsidR="00703252" w:rsidRPr="00F72F61">
              <w:rPr>
                <w:rStyle w:val="Hyperlink"/>
                <w:rFonts w:ascii="Garamond" w:hAnsi="Garamond"/>
                <w:noProof/>
              </w:rPr>
              <w:t>1</w:t>
            </w:r>
            <w:r w:rsidR="00703252">
              <w:rPr>
                <w:rFonts w:eastAsiaTheme="minorEastAsia"/>
                <w:noProof/>
                <w:lang w:eastAsia="de-DE"/>
              </w:rPr>
              <w:tab/>
            </w:r>
            <w:r w:rsidR="00703252" w:rsidRPr="00F72F61">
              <w:rPr>
                <w:rStyle w:val="Hyperlink"/>
                <w:rFonts w:ascii="Garamond" w:hAnsi="Garamond"/>
                <w:noProof/>
              </w:rPr>
              <w:t>Einleitung</w:t>
            </w:r>
            <w:r w:rsidR="00703252">
              <w:rPr>
                <w:noProof/>
                <w:webHidden/>
              </w:rPr>
              <w:tab/>
            </w:r>
            <w:r w:rsidR="00703252">
              <w:rPr>
                <w:noProof/>
                <w:webHidden/>
              </w:rPr>
              <w:fldChar w:fldCharType="begin"/>
            </w:r>
            <w:r w:rsidR="00703252">
              <w:rPr>
                <w:noProof/>
                <w:webHidden/>
              </w:rPr>
              <w:instrText xml:space="preserve"> PAGEREF _Toc23954511 \h </w:instrText>
            </w:r>
            <w:r w:rsidR="00703252">
              <w:rPr>
                <w:noProof/>
                <w:webHidden/>
              </w:rPr>
            </w:r>
            <w:r w:rsidR="00703252">
              <w:rPr>
                <w:noProof/>
                <w:webHidden/>
              </w:rPr>
              <w:fldChar w:fldCharType="separate"/>
            </w:r>
            <w:r w:rsidR="00703252">
              <w:rPr>
                <w:noProof/>
                <w:webHidden/>
              </w:rPr>
              <w:t>3</w:t>
            </w:r>
            <w:r w:rsidR="00703252">
              <w:rPr>
                <w:noProof/>
                <w:webHidden/>
              </w:rPr>
              <w:fldChar w:fldCharType="end"/>
            </w:r>
          </w:hyperlink>
        </w:p>
        <w:p w14:paraId="5B87DBD1" w14:textId="77777777" w:rsidR="00703252" w:rsidRDefault="000E2679">
          <w:pPr>
            <w:pStyle w:val="Verzeichnis1"/>
            <w:tabs>
              <w:tab w:val="left" w:pos="440"/>
              <w:tab w:val="right" w:leader="dot" w:pos="9062"/>
            </w:tabs>
            <w:rPr>
              <w:rFonts w:eastAsiaTheme="minorEastAsia"/>
              <w:noProof/>
              <w:lang w:eastAsia="de-DE"/>
            </w:rPr>
          </w:pPr>
          <w:hyperlink w:anchor="_Toc23954512" w:history="1">
            <w:r w:rsidR="00703252" w:rsidRPr="00F72F61">
              <w:rPr>
                <w:rStyle w:val="Hyperlink"/>
                <w:rFonts w:ascii="Garamond" w:hAnsi="Garamond"/>
                <w:noProof/>
              </w:rPr>
              <w:t>2</w:t>
            </w:r>
            <w:r w:rsidR="00703252">
              <w:rPr>
                <w:rFonts w:eastAsiaTheme="minorEastAsia"/>
                <w:noProof/>
                <w:lang w:eastAsia="de-DE"/>
              </w:rPr>
              <w:tab/>
            </w:r>
            <w:r w:rsidR="00703252" w:rsidRPr="00F72F61">
              <w:rPr>
                <w:rStyle w:val="Hyperlink"/>
                <w:rFonts w:ascii="Garamond" w:hAnsi="Garamond"/>
                <w:noProof/>
              </w:rPr>
              <w:t>Private vs public Cloud</w:t>
            </w:r>
            <w:r w:rsidR="00703252">
              <w:rPr>
                <w:noProof/>
                <w:webHidden/>
              </w:rPr>
              <w:tab/>
            </w:r>
            <w:r w:rsidR="00703252">
              <w:rPr>
                <w:noProof/>
                <w:webHidden/>
              </w:rPr>
              <w:fldChar w:fldCharType="begin"/>
            </w:r>
            <w:r w:rsidR="00703252">
              <w:rPr>
                <w:noProof/>
                <w:webHidden/>
              </w:rPr>
              <w:instrText xml:space="preserve"> PAGEREF _Toc23954512 \h </w:instrText>
            </w:r>
            <w:r w:rsidR="00703252">
              <w:rPr>
                <w:noProof/>
                <w:webHidden/>
              </w:rPr>
            </w:r>
            <w:r w:rsidR="00703252">
              <w:rPr>
                <w:noProof/>
                <w:webHidden/>
              </w:rPr>
              <w:fldChar w:fldCharType="separate"/>
            </w:r>
            <w:r w:rsidR="00703252">
              <w:rPr>
                <w:noProof/>
                <w:webHidden/>
              </w:rPr>
              <w:t>4</w:t>
            </w:r>
            <w:r w:rsidR="00703252">
              <w:rPr>
                <w:noProof/>
                <w:webHidden/>
              </w:rPr>
              <w:fldChar w:fldCharType="end"/>
            </w:r>
          </w:hyperlink>
        </w:p>
        <w:p w14:paraId="0608C329" w14:textId="77777777" w:rsidR="00703252" w:rsidRDefault="000E2679">
          <w:pPr>
            <w:pStyle w:val="Verzeichnis1"/>
            <w:tabs>
              <w:tab w:val="left" w:pos="440"/>
              <w:tab w:val="right" w:leader="dot" w:pos="9062"/>
            </w:tabs>
            <w:rPr>
              <w:rFonts w:eastAsiaTheme="minorEastAsia"/>
              <w:noProof/>
              <w:lang w:eastAsia="de-DE"/>
            </w:rPr>
          </w:pPr>
          <w:hyperlink w:anchor="_Toc23954513" w:history="1">
            <w:r w:rsidR="00703252" w:rsidRPr="00F72F61">
              <w:rPr>
                <w:rStyle w:val="Hyperlink"/>
                <w:rFonts w:ascii="Garamond" w:hAnsi="Garamond"/>
                <w:noProof/>
              </w:rPr>
              <w:t>3</w:t>
            </w:r>
            <w:r w:rsidR="00703252">
              <w:rPr>
                <w:rFonts w:eastAsiaTheme="minorEastAsia"/>
                <w:noProof/>
                <w:lang w:eastAsia="de-DE"/>
              </w:rPr>
              <w:tab/>
            </w:r>
            <w:r w:rsidR="00703252" w:rsidRPr="00F72F61">
              <w:rPr>
                <w:rStyle w:val="Hyperlink"/>
                <w:rFonts w:ascii="Garamond" w:hAnsi="Garamond"/>
                <w:noProof/>
              </w:rPr>
              <w:t>Architekturen (single Tenancy,Virtualisierung, Multitenancy)</w:t>
            </w:r>
            <w:r w:rsidR="00703252">
              <w:rPr>
                <w:noProof/>
                <w:webHidden/>
              </w:rPr>
              <w:tab/>
            </w:r>
            <w:r w:rsidR="00703252">
              <w:rPr>
                <w:noProof/>
                <w:webHidden/>
              </w:rPr>
              <w:fldChar w:fldCharType="begin"/>
            </w:r>
            <w:r w:rsidR="00703252">
              <w:rPr>
                <w:noProof/>
                <w:webHidden/>
              </w:rPr>
              <w:instrText xml:space="preserve"> PAGEREF _Toc23954513 \h </w:instrText>
            </w:r>
            <w:r w:rsidR="00703252">
              <w:rPr>
                <w:noProof/>
                <w:webHidden/>
              </w:rPr>
            </w:r>
            <w:r w:rsidR="00703252">
              <w:rPr>
                <w:noProof/>
                <w:webHidden/>
              </w:rPr>
              <w:fldChar w:fldCharType="separate"/>
            </w:r>
            <w:r w:rsidR="00703252">
              <w:rPr>
                <w:noProof/>
                <w:webHidden/>
              </w:rPr>
              <w:t>5</w:t>
            </w:r>
            <w:r w:rsidR="00703252">
              <w:rPr>
                <w:noProof/>
                <w:webHidden/>
              </w:rPr>
              <w:fldChar w:fldCharType="end"/>
            </w:r>
          </w:hyperlink>
        </w:p>
        <w:p w14:paraId="1933B465" w14:textId="77777777" w:rsidR="00703252" w:rsidRDefault="000E2679">
          <w:pPr>
            <w:pStyle w:val="Verzeichnis1"/>
            <w:tabs>
              <w:tab w:val="left" w:pos="440"/>
              <w:tab w:val="right" w:leader="dot" w:pos="9062"/>
            </w:tabs>
            <w:rPr>
              <w:rFonts w:eastAsiaTheme="minorEastAsia"/>
              <w:noProof/>
              <w:lang w:eastAsia="de-DE"/>
            </w:rPr>
          </w:pPr>
          <w:hyperlink w:anchor="_Toc23954514" w:history="1">
            <w:r w:rsidR="00703252" w:rsidRPr="00F72F61">
              <w:rPr>
                <w:rStyle w:val="Hyperlink"/>
                <w:rFonts w:ascii="Garamond" w:hAnsi="Garamond"/>
                <w:noProof/>
              </w:rPr>
              <w:t>4</w:t>
            </w:r>
            <w:r w:rsidR="00703252">
              <w:rPr>
                <w:rFonts w:eastAsiaTheme="minorEastAsia"/>
                <w:noProof/>
                <w:lang w:eastAsia="de-DE"/>
              </w:rPr>
              <w:tab/>
            </w:r>
            <w:r w:rsidR="00703252" w:rsidRPr="00F72F61">
              <w:rPr>
                <w:rStyle w:val="Hyperlink"/>
                <w:rFonts w:ascii="Garamond" w:hAnsi="Garamond"/>
                <w:noProof/>
              </w:rPr>
              <w:t>Innovationsgeschwindigkeit</w:t>
            </w:r>
            <w:r w:rsidR="00703252">
              <w:rPr>
                <w:noProof/>
                <w:webHidden/>
              </w:rPr>
              <w:tab/>
            </w:r>
            <w:r w:rsidR="00703252">
              <w:rPr>
                <w:noProof/>
                <w:webHidden/>
              </w:rPr>
              <w:fldChar w:fldCharType="begin"/>
            </w:r>
            <w:r w:rsidR="00703252">
              <w:rPr>
                <w:noProof/>
                <w:webHidden/>
              </w:rPr>
              <w:instrText xml:space="preserve"> PAGEREF _Toc23954514 \h </w:instrText>
            </w:r>
            <w:r w:rsidR="00703252">
              <w:rPr>
                <w:noProof/>
                <w:webHidden/>
              </w:rPr>
            </w:r>
            <w:r w:rsidR="00703252">
              <w:rPr>
                <w:noProof/>
                <w:webHidden/>
              </w:rPr>
              <w:fldChar w:fldCharType="separate"/>
            </w:r>
            <w:r w:rsidR="00703252">
              <w:rPr>
                <w:noProof/>
                <w:webHidden/>
              </w:rPr>
              <w:t>6</w:t>
            </w:r>
            <w:r w:rsidR="00703252">
              <w:rPr>
                <w:noProof/>
                <w:webHidden/>
              </w:rPr>
              <w:fldChar w:fldCharType="end"/>
            </w:r>
          </w:hyperlink>
        </w:p>
        <w:p w14:paraId="6F9C3884" w14:textId="77777777" w:rsidR="00703252" w:rsidRDefault="000E2679">
          <w:pPr>
            <w:pStyle w:val="Verzeichnis1"/>
            <w:tabs>
              <w:tab w:val="left" w:pos="440"/>
              <w:tab w:val="right" w:leader="dot" w:pos="9062"/>
            </w:tabs>
            <w:rPr>
              <w:rFonts w:eastAsiaTheme="minorEastAsia"/>
              <w:noProof/>
              <w:lang w:eastAsia="de-DE"/>
            </w:rPr>
          </w:pPr>
          <w:hyperlink w:anchor="_Toc23954515" w:history="1">
            <w:r w:rsidR="00703252" w:rsidRPr="00F72F61">
              <w:rPr>
                <w:rStyle w:val="Hyperlink"/>
                <w:rFonts w:ascii="Garamond" w:hAnsi="Garamond"/>
                <w:noProof/>
              </w:rPr>
              <w:t>5</w:t>
            </w:r>
            <w:r w:rsidR="00703252">
              <w:rPr>
                <w:rFonts w:eastAsiaTheme="minorEastAsia"/>
                <w:noProof/>
                <w:lang w:eastAsia="de-DE"/>
              </w:rPr>
              <w:tab/>
            </w:r>
            <w:r w:rsidR="00703252" w:rsidRPr="00F72F61">
              <w:rPr>
                <w:rStyle w:val="Hyperlink"/>
                <w:rFonts w:ascii="Garamond" w:hAnsi="Garamond"/>
                <w:noProof/>
              </w:rPr>
              <w:t>Lizenzvertrag vs. Service Level Agreement</w:t>
            </w:r>
            <w:r w:rsidR="00703252">
              <w:rPr>
                <w:noProof/>
                <w:webHidden/>
              </w:rPr>
              <w:tab/>
            </w:r>
            <w:r w:rsidR="00703252">
              <w:rPr>
                <w:noProof/>
                <w:webHidden/>
              </w:rPr>
              <w:fldChar w:fldCharType="begin"/>
            </w:r>
            <w:r w:rsidR="00703252">
              <w:rPr>
                <w:noProof/>
                <w:webHidden/>
              </w:rPr>
              <w:instrText xml:space="preserve"> PAGEREF _Toc23954515 \h </w:instrText>
            </w:r>
            <w:r w:rsidR="00703252">
              <w:rPr>
                <w:noProof/>
                <w:webHidden/>
              </w:rPr>
            </w:r>
            <w:r w:rsidR="00703252">
              <w:rPr>
                <w:noProof/>
                <w:webHidden/>
              </w:rPr>
              <w:fldChar w:fldCharType="separate"/>
            </w:r>
            <w:r w:rsidR="00703252">
              <w:rPr>
                <w:noProof/>
                <w:webHidden/>
              </w:rPr>
              <w:t>7</w:t>
            </w:r>
            <w:r w:rsidR="00703252">
              <w:rPr>
                <w:noProof/>
                <w:webHidden/>
              </w:rPr>
              <w:fldChar w:fldCharType="end"/>
            </w:r>
          </w:hyperlink>
        </w:p>
        <w:p w14:paraId="57311823" w14:textId="77777777" w:rsidR="00703252" w:rsidRDefault="000E2679">
          <w:pPr>
            <w:pStyle w:val="Verzeichnis1"/>
            <w:tabs>
              <w:tab w:val="left" w:pos="440"/>
              <w:tab w:val="right" w:leader="dot" w:pos="9062"/>
            </w:tabs>
            <w:rPr>
              <w:rFonts w:eastAsiaTheme="minorEastAsia"/>
              <w:noProof/>
              <w:lang w:eastAsia="de-DE"/>
            </w:rPr>
          </w:pPr>
          <w:hyperlink w:anchor="_Toc23954516" w:history="1">
            <w:r w:rsidR="00703252" w:rsidRPr="00F72F61">
              <w:rPr>
                <w:rStyle w:val="Hyperlink"/>
                <w:rFonts w:ascii="Garamond" w:hAnsi="Garamond"/>
                <w:noProof/>
              </w:rPr>
              <w:t>6</w:t>
            </w:r>
            <w:r w:rsidR="00703252">
              <w:rPr>
                <w:rFonts w:eastAsiaTheme="minorEastAsia"/>
                <w:noProof/>
                <w:lang w:eastAsia="de-DE"/>
              </w:rPr>
              <w:tab/>
            </w:r>
            <w:r w:rsidR="00703252" w:rsidRPr="00F72F61">
              <w:rPr>
                <w:rStyle w:val="Hyperlink"/>
                <w:rFonts w:ascii="Garamond" w:hAnsi="Garamond"/>
                <w:noProof/>
              </w:rPr>
              <w:t>Strategien klassischer Softwareanbieter für den Wechsel zur Cloud</w:t>
            </w:r>
            <w:r w:rsidR="00703252">
              <w:rPr>
                <w:noProof/>
                <w:webHidden/>
              </w:rPr>
              <w:tab/>
            </w:r>
            <w:r w:rsidR="00703252">
              <w:rPr>
                <w:noProof/>
                <w:webHidden/>
              </w:rPr>
              <w:fldChar w:fldCharType="begin"/>
            </w:r>
            <w:r w:rsidR="00703252">
              <w:rPr>
                <w:noProof/>
                <w:webHidden/>
              </w:rPr>
              <w:instrText xml:space="preserve"> PAGEREF _Toc23954516 \h </w:instrText>
            </w:r>
            <w:r w:rsidR="00703252">
              <w:rPr>
                <w:noProof/>
                <w:webHidden/>
              </w:rPr>
            </w:r>
            <w:r w:rsidR="00703252">
              <w:rPr>
                <w:noProof/>
                <w:webHidden/>
              </w:rPr>
              <w:fldChar w:fldCharType="separate"/>
            </w:r>
            <w:r w:rsidR="00703252">
              <w:rPr>
                <w:noProof/>
                <w:webHidden/>
              </w:rPr>
              <w:t>8</w:t>
            </w:r>
            <w:r w:rsidR="00703252">
              <w:rPr>
                <w:noProof/>
                <w:webHidden/>
              </w:rPr>
              <w:fldChar w:fldCharType="end"/>
            </w:r>
          </w:hyperlink>
        </w:p>
        <w:p w14:paraId="1177DE0B" w14:textId="77777777" w:rsidR="00703252" w:rsidRDefault="000E2679">
          <w:pPr>
            <w:pStyle w:val="Verzeichnis1"/>
            <w:tabs>
              <w:tab w:val="left" w:pos="440"/>
              <w:tab w:val="right" w:leader="dot" w:pos="9062"/>
            </w:tabs>
            <w:rPr>
              <w:rFonts w:eastAsiaTheme="minorEastAsia"/>
              <w:noProof/>
              <w:lang w:eastAsia="de-DE"/>
            </w:rPr>
          </w:pPr>
          <w:hyperlink w:anchor="_Toc23954517" w:history="1">
            <w:r w:rsidR="00703252" w:rsidRPr="00F72F61">
              <w:rPr>
                <w:rStyle w:val="Hyperlink"/>
                <w:rFonts w:ascii="Garamond" w:hAnsi="Garamond"/>
                <w:noProof/>
              </w:rPr>
              <w:t>7</w:t>
            </w:r>
            <w:r w:rsidR="00703252">
              <w:rPr>
                <w:rFonts w:eastAsiaTheme="minorEastAsia"/>
                <w:noProof/>
                <w:lang w:eastAsia="de-DE"/>
              </w:rPr>
              <w:tab/>
            </w:r>
            <w:r w:rsidR="00703252" w:rsidRPr="00F72F61">
              <w:rPr>
                <w:rStyle w:val="Hyperlink"/>
                <w:rFonts w:ascii="Garamond" w:hAnsi="Garamond"/>
                <w:noProof/>
              </w:rPr>
              <w:t>Legale Randbedingungen</w:t>
            </w:r>
            <w:r w:rsidR="00703252">
              <w:rPr>
                <w:noProof/>
                <w:webHidden/>
              </w:rPr>
              <w:tab/>
            </w:r>
            <w:r w:rsidR="00703252">
              <w:rPr>
                <w:noProof/>
                <w:webHidden/>
              </w:rPr>
              <w:fldChar w:fldCharType="begin"/>
            </w:r>
            <w:r w:rsidR="00703252">
              <w:rPr>
                <w:noProof/>
                <w:webHidden/>
              </w:rPr>
              <w:instrText xml:space="preserve"> PAGEREF _Toc23954517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3E8E11FB" w14:textId="77777777" w:rsidR="00703252" w:rsidRDefault="000E2679">
          <w:pPr>
            <w:pStyle w:val="Verzeichnis1"/>
            <w:tabs>
              <w:tab w:val="left" w:pos="440"/>
              <w:tab w:val="right" w:leader="dot" w:pos="9062"/>
            </w:tabs>
            <w:rPr>
              <w:rFonts w:eastAsiaTheme="minorEastAsia"/>
              <w:noProof/>
              <w:lang w:eastAsia="de-DE"/>
            </w:rPr>
          </w:pPr>
          <w:hyperlink w:anchor="_Toc23954518" w:history="1">
            <w:r w:rsidR="00703252" w:rsidRPr="00F72F61">
              <w:rPr>
                <w:rStyle w:val="Hyperlink"/>
                <w:rFonts w:ascii="Garamond" w:hAnsi="Garamond"/>
                <w:noProof/>
              </w:rPr>
              <w:t>8</w:t>
            </w:r>
            <w:r w:rsidR="00703252">
              <w:rPr>
                <w:rFonts w:eastAsiaTheme="minorEastAsia"/>
                <w:noProof/>
                <w:lang w:eastAsia="de-DE"/>
              </w:rPr>
              <w:tab/>
            </w:r>
            <w:r w:rsidR="00703252" w:rsidRPr="00F72F61">
              <w:rPr>
                <w:rStyle w:val="Hyperlink"/>
                <w:rFonts w:ascii="Garamond" w:hAnsi="Garamond"/>
                <w:noProof/>
              </w:rPr>
              <w:t>Anpassung an Benutzeranforderungen</w:t>
            </w:r>
            <w:r w:rsidR="00703252">
              <w:rPr>
                <w:noProof/>
                <w:webHidden/>
              </w:rPr>
              <w:tab/>
            </w:r>
            <w:r w:rsidR="00703252">
              <w:rPr>
                <w:noProof/>
                <w:webHidden/>
              </w:rPr>
              <w:fldChar w:fldCharType="begin"/>
            </w:r>
            <w:r w:rsidR="00703252">
              <w:rPr>
                <w:noProof/>
                <w:webHidden/>
              </w:rPr>
              <w:instrText xml:space="preserve"> PAGEREF _Toc23954518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6B5496AF" w14:textId="77777777" w:rsidR="00703252" w:rsidRDefault="000E2679">
          <w:pPr>
            <w:pStyle w:val="Verzeichnis1"/>
            <w:tabs>
              <w:tab w:val="left" w:pos="440"/>
              <w:tab w:val="right" w:leader="dot" w:pos="9062"/>
            </w:tabs>
            <w:rPr>
              <w:rFonts w:eastAsiaTheme="minorEastAsia"/>
              <w:noProof/>
              <w:lang w:eastAsia="de-DE"/>
            </w:rPr>
          </w:pPr>
          <w:hyperlink w:anchor="_Toc23954519" w:history="1">
            <w:r w:rsidR="00703252" w:rsidRPr="00F72F61">
              <w:rPr>
                <w:rStyle w:val="Hyperlink"/>
                <w:rFonts w:ascii="Garamond" w:hAnsi="Garamond"/>
                <w:noProof/>
              </w:rPr>
              <w:t>9</w:t>
            </w:r>
            <w:r w:rsidR="00703252">
              <w:rPr>
                <w:rFonts w:eastAsiaTheme="minorEastAsia"/>
                <w:noProof/>
                <w:lang w:eastAsia="de-DE"/>
              </w:rPr>
              <w:tab/>
            </w:r>
            <w:r w:rsidR="00703252" w:rsidRPr="00F72F61">
              <w:rPr>
                <w:rStyle w:val="Hyperlink"/>
                <w:rFonts w:ascii="Garamond" w:hAnsi="Garamond"/>
                <w:noProof/>
              </w:rPr>
              <w:t>Geschäftsmodellaspekte für den Anbieter (Cash Flow, verbriefter Umsatz)</w:t>
            </w:r>
            <w:r w:rsidR="00703252">
              <w:rPr>
                <w:noProof/>
                <w:webHidden/>
              </w:rPr>
              <w:tab/>
            </w:r>
            <w:r w:rsidR="00703252">
              <w:rPr>
                <w:noProof/>
                <w:webHidden/>
              </w:rPr>
              <w:fldChar w:fldCharType="begin"/>
            </w:r>
            <w:r w:rsidR="00703252">
              <w:rPr>
                <w:noProof/>
                <w:webHidden/>
              </w:rPr>
              <w:instrText xml:space="preserve"> PAGEREF _Toc23954519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2725A2E0" w14:textId="77777777" w:rsidR="00703252" w:rsidRDefault="000E2679">
          <w:pPr>
            <w:pStyle w:val="Verzeichnis1"/>
            <w:tabs>
              <w:tab w:val="left" w:pos="440"/>
              <w:tab w:val="right" w:leader="dot" w:pos="9062"/>
            </w:tabs>
            <w:rPr>
              <w:rFonts w:eastAsiaTheme="minorEastAsia"/>
              <w:noProof/>
              <w:lang w:eastAsia="de-DE"/>
            </w:rPr>
          </w:pPr>
          <w:hyperlink w:anchor="_Toc23954520" w:history="1">
            <w:r w:rsidR="00703252" w:rsidRPr="00F72F61">
              <w:rPr>
                <w:rStyle w:val="Hyperlink"/>
                <w:rFonts w:ascii="Garamond" w:hAnsi="Garamond"/>
                <w:noProof/>
              </w:rPr>
              <w:t>10</w:t>
            </w:r>
            <w:r w:rsidR="00703252">
              <w:rPr>
                <w:rFonts w:eastAsiaTheme="minorEastAsia"/>
                <w:noProof/>
                <w:lang w:eastAsia="de-DE"/>
              </w:rPr>
              <w:tab/>
            </w:r>
            <w:r w:rsidR="00703252" w:rsidRPr="00F72F61">
              <w:rPr>
                <w:rStyle w:val="Hyperlink"/>
                <w:rFonts w:ascii="Garamond" w:hAnsi="Garamond"/>
                <w:noProof/>
              </w:rPr>
              <w:t>Cloud und IT-Abteilung</w:t>
            </w:r>
            <w:r w:rsidR="00703252">
              <w:rPr>
                <w:noProof/>
                <w:webHidden/>
              </w:rPr>
              <w:tab/>
            </w:r>
            <w:r w:rsidR="00703252">
              <w:rPr>
                <w:noProof/>
                <w:webHidden/>
              </w:rPr>
              <w:fldChar w:fldCharType="begin"/>
            </w:r>
            <w:r w:rsidR="00703252">
              <w:rPr>
                <w:noProof/>
                <w:webHidden/>
              </w:rPr>
              <w:instrText xml:space="preserve"> PAGEREF _Toc23954520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69E6230B" w14:textId="77777777" w:rsidR="00703252" w:rsidRDefault="000E2679">
          <w:pPr>
            <w:pStyle w:val="Verzeichnis1"/>
            <w:tabs>
              <w:tab w:val="left" w:pos="440"/>
              <w:tab w:val="right" w:leader="dot" w:pos="9062"/>
            </w:tabs>
            <w:rPr>
              <w:rFonts w:eastAsiaTheme="minorEastAsia"/>
              <w:noProof/>
              <w:lang w:eastAsia="de-DE"/>
            </w:rPr>
          </w:pPr>
          <w:hyperlink w:anchor="_Toc23954521" w:history="1">
            <w:r w:rsidR="00703252" w:rsidRPr="00F72F61">
              <w:rPr>
                <w:rStyle w:val="Hyperlink"/>
                <w:rFonts w:ascii="Garamond" w:hAnsi="Garamond"/>
                <w:noProof/>
              </w:rPr>
              <w:t>11</w:t>
            </w:r>
            <w:r w:rsidR="00703252">
              <w:rPr>
                <w:rFonts w:eastAsiaTheme="minorEastAsia"/>
                <w:noProof/>
                <w:lang w:eastAsia="de-DE"/>
              </w:rPr>
              <w:tab/>
            </w:r>
            <w:r w:rsidR="00703252" w:rsidRPr="00F72F61">
              <w:rPr>
                <w:rStyle w:val="Hyperlink"/>
                <w:rFonts w:ascii="Garamond" w:hAnsi="Garamond"/>
                <w:noProof/>
              </w:rPr>
              <w:t>Kundenaspekte (Capex, Opex)</w:t>
            </w:r>
            <w:r w:rsidR="00703252">
              <w:rPr>
                <w:noProof/>
                <w:webHidden/>
              </w:rPr>
              <w:tab/>
            </w:r>
            <w:r w:rsidR="00703252">
              <w:rPr>
                <w:noProof/>
                <w:webHidden/>
              </w:rPr>
              <w:fldChar w:fldCharType="begin"/>
            </w:r>
            <w:r w:rsidR="00703252">
              <w:rPr>
                <w:noProof/>
                <w:webHidden/>
              </w:rPr>
              <w:instrText xml:space="preserve"> PAGEREF _Toc23954521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3CDB5BA0" w14:textId="77777777" w:rsidR="00703252" w:rsidRDefault="000E2679">
          <w:pPr>
            <w:pStyle w:val="Verzeichnis1"/>
            <w:tabs>
              <w:tab w:val="left" w:pos="440"/>
              <w:tab w:val="right" w:leader="dot" w:pos="9062"/>
            </w:tabs>
            <w:rPr>
              <w:rFonts w:eastAsiaTheme="minorEastAsia"/>
              <w:noProof/>
              <w:lang w:eastAsia="de-DE"/>
            </w:rPr>
          </w:pPr>
          <w:hyperlink w:anchor="_Toc23954522" w:history="1">
            <w:r w:rsidR="00703252" w:rsidRPr="00F72F61">
              <w:rPr>
                <w:rStyle w:val="Hyperlink"/>
                <w:rFonts w:ascii="Garamond" w:hAnsi="Garamond"/>
                <w:noProof/>
              </w:rPr>
              <w:t>12</w:t>
            </w:r>
            <w:r w:rsidR="00703252">
              <w:rPr>
                <w:rFonts w:eastAsiaTheme="minorEastAsia"/>
                <w:noProof/>
                <w:lang w:eastAsia="de-DE"/>
              </w:rPr>
              <w:tab/>
            </w:r>
            <w:r w:rsidR="00703252" w:rsidRPr="00F72F61">
              <w:rPr>
                <w:rStyle w:val="Hyperlink"/>
                <w:rFonts w:ascii="Garamond" w:hAnsi="Garamond"/>
                <w:noProof/>
              </w:rPr>
              <w:t>Kundenbindung und Anbieterwechsel</w:t>
            </w:r>
            <w:r w:rsidR="00703252">
              <w:rPr>
                <w:noProof/>
                <w:webHidden/>
              </w:rPr>
              <w:tab/>
            </w:r>
            <w:r w:rsidR="00703252">
              <w:rPr>
                <w:noProof/>
                <w:webHidden/>
              </w:rPr>
              <w:fldChar w:fldCharType="begin"/>
            </w:r>
            <w:r w:rsidR="00703252">
              <w:rPr>
                <w:noProof/>
                <w:webHidden/>
              </w:rPr>
              <w:instrText xml:space="preserve"> PAGEREF _Toc23954522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4656E1EA" w14:textId="77777777" w:rsidR="00703252" w:rsidRDefault="000E2679">
          <w:pPr>
            <w:pStyle w:val="Verzeichnis1"/>
            <w:tabs>
              <w:tab w:val="left" w:pos="440"/>
              <w:tab w:val="right" w:leader="dot" w:pos="9062"/>
            </w:tabs>
            <w:rPr>
              <w:rFonts w:eastAsiaTheme="minorEastAsia"/>
              <w:noProof/>
              <w:lang w:eastAsia="de-DE"/>
            </w:rPr>
          </w:pPr>
          <w:hyperlink w:anchor="_Toc23954523" w:history="1">
            <w:r w:rsidR="00703252" w:rsidRPr="00F72F61">
              <w:rPr>
                <w:rStyle w:val="Hyperlink"/>
                <w:rFonts w:ascii="Garamond" w:hAnsi="Garamond"/>
                <w:noProof/>
              </w:rPr>
              <w:t>13</w:t>
            </w:r>
            <w:r w:rsidR="00703252">
              <w:rPr>
                <w:rFonts w:eastAsiaTheme="minorEastAsia"/>
                <w:noProof/>
                <w:lang w:eastAsia="de-DE"/>
              </w:rPr>
              <w:tab/>
            </w:r>
            <w:r w:rsidR="00703252" w:rsidRPr="00F72F61">
              <w:rPr>
                <w:rStyle w:val="Hyperlink"/>
                <w:rFonts w:ascii="Garamond" w:hAnsi="Garamond"/>
                <w:noProof/>
              </w:rPr>
              <w:t>Schluss</w:t>
            </w:r>
            <w:r w:rsidR="00703252">
              <w:rPr>
                <w:noProof/>
                <w:webHidden/>
              </w:rPr>
              <w:tab/>
            </w:r>
            <w:r w:rsidR="00703252">
              <w:rPr>
                <w:noProof/>
                <w:webHidden/>
              </w:rPr>
              <w:fldChar w:fldCharType="begin"/>
            </w:r>
            <w:r w:rsidR="00703252">
              <w:rPr>
                <w:noProof/>
                <w:webHidden/>
              </w:rPr>
              <w:instrText xml:space="preserve"> PAGEREF _Toc23954523 \h </w:instrText>
            </w:r>
            <w:r w:rsidR="00703252">
              <w:rPr>
                <w:noProof/>
                <w:webHidden/>
              </w:rPr>
            </w:r>
            <w:r w:rsidR="00703252">
              <w:rPr>
                <w:noProof/>
                <w:webHidden/>
              </w:rPr>
              <w:fldChar w:fldCharType="separate"/>
            </w:r>
            <w:r w:rsidR="00703252">
              <w:rPr>
                <w:noProof/>
                <w:webHidden/>
              </w:rPr>
              <w:t>12</w:t>
            </w:r>
            <w:r w:rsidR="00703252">
              <w:rPr>
                <w:noProof/>
                <w:webHidden/>
              </w:rPr>
              <w:fldChar w:fldCharType="end"/>
            </w:r>
          </w:hyperlink>
        </w:p>
        <w:p w14:paraId="0E25B137" w14:textId="77777777" w:rsidR="00703252" w:rsidRDefault="000E2679">
          <w:pPr>
            <w:pStyle w:val="Verzeichnis1"/>
            <w:tabs>
              <w:tab w:val="right" w:leader="dot" w:pos="9062"/>
            </w:tabs>
            <w:rPr>
              <w:rFonts w:eastAsiaTheme="minorEastAsia"/>
              <w:noProof/>
              <w:lang w:eastAsia="de-DE"/>
            </w:rPr>
          </w:pPr>
          <w:hyperlink w:anchor="_Toc23954524" w:history="1">
            <w:r w:rsidR="00703252" w:rsidRPr="00F72F61">
              <w:rPr>
                <w:rStyle w:val="Hyperlink"/>
                <w:noProof/>
              </w:rPr>
              <w:t>Literaturverzeichnis</w:t>
            </w:r>
            <w:r w:rsidR="00703252">
              <w:rPr>
                <w:noProof/>
                <w:webHidden/>
              </w:rPr>
              <w:tab/>
            </w:r>
            <w:r w:rsidR="00703252">
              <w:rPr>
                <w:noProof/>
                <w:webHidden/>
              </w:rPr>
              <w:fldChar w:fldCharType="begin"/>
            </w:r>
            <w:r w:rsidR="00703252">
              <w:rPr>
                <w:noProof/>
                <w:webHidden/>
              </w:rPr>
              <w:instrText xml:space="preserve"> PAGEREF _Toc23954524 \h </w:instrText>
            </w:r>
            <w:r w:rsidR="00703252">
              <w:rPr>
                <w:noProof/>
                <w:webHidden/>
              </w:rPr>
            </w:r>
            <w:r w:rsidR="00703252">
              <w:rPr>
                <w:noProof/>
                <w:webHidden/>
              </w:rPr>
              <w:fldChar w:fldCharType="separate"/>
            </w:r>
            <w:r w:rsidR="00703252">
              <w:rPr>
                <w:noProof/>
                <w:webHidden/>
              </w:rPr>
              <w:t>13</w:t>
            </w:r>
            <w:r w:rsidR="00703252">
              <w:rPr>
                <w:noProof/>
                <w:webHidden/>
              </w:rPr>
              <w:fldChar w:fldCharType="end"/>
            </w:r>
          </w:hyperlink>
        </w:p>
        <w:p w14:paraId="570C5156" w14:textId="77777777" w:rsidR="00703252" w:rsidRDefault="000E2679">
          <w:pPr>
            <w:pStyle w:val="Verzeichnis1"/>
            <w:tabs>
              <w:tab w:val="right" w:leader="dot" w:pos="9062"/>
            </w:tabs>
            <w:rPr>
              <w:rFonts w:eastAsiaTheme="minorEastAsia"/>
              <w:noProof/>
              <w:lang w:eastAsia="de-DE"/>
            </w:rPr>
          </w:pPr>
          <w:hyperlink w:anchor="_Toc23954525" w:history="1">
            <w:r w:rsidR="00703252" w:rsidRPr="00F72F61">
              <w:rPr>
                <w:rStyle w:val="Hyperlink"/>
                <w:rFonts w:ascii="Garamond" w:hAnsi="Garamond"/>
                <w:noProof/>
              </w:rPr>
              <w:t>Abbildungsverzeichnis</w:t>
            </w:r>
            <w:r w:rsidR="00703252">
              <w:rPr>
                <w:noProof/>
                <w:webHidden/>
              </w:rPr>
              <w:tab/>
            </w:r>
            <w:r w:rsidR="00703252">
              <w:rPr>
                <w:noProof/>
                <w:webHidden/>
              </w:rPr>
              <w:fldChar w:fldCharType="begin"/>
            </w:r>
            <w:r w:rsidR="00703252">
              <w:rPr>
                <w:noProof/>
                <w:webHidden/>
              </w:rPr>
              <w:instrText xml:space="preserve"> PAGEREF _Toc23954525 \h </w:instrText>
            </w:r>
            <w:r w:rsidR="00703252">
              <w:rPr>
                <w:noProof/>
                <w:webHidden/>
              </w:rPr>
            </w:r>
            <w:r w:rsidR="00703252">
              <w:rPr>
                <w:noProof/>
                <w:webHidden/>
              </w:rPr>
              <w:fldChar w:fldCharType="separate"/>
            </w:r>
            <w:r w:rsidR="00703252">
              <w:rPr>
                <w:noProof/>
                <w:webHidden/>
              </w:rPr>
              <w:t>14</w:t>
            </w:r>
            <w:r w:rsidR="00703252">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AD78376" w14:textId="4A9C0975" w:rsidR="0015248C" w:rsidRDefault="00B44D8D" w:rsidP="0015248C">
      <w:pPr>
        <w:pStyle w:val="berschrift1"/>
        <w:numPr>
          <w:ilvl w:val="0"/>
          <w:numId w:val="3"/>
        </w:numPr>
        <w:rPr>
          <w:rFonts w:ascii="Garamond" w:hAnsi="Garamond"/>
        </w:rPr>
      </w:pPr>
      <w:bookmarkStart w:id="0" w:name="_Toc23954511"/>
      <w:r w:rsidRPr="00445509">
        <w:rPr>
          <w:rFonts w:ascii="Garamond" w:hAnsi="Garamond"/>
        </w:rPr>
        <w:lastRenderedPageBreak/>
        <w:t>Einleitung</w:t>
      </w:r>
      <w:bookmarkEnd w:id="0"/>
    </w:p>
    <w:p w14:paraId="5F23ADA3" w14:textId="77777777" w:rsidR="00445509" w:rsidRPr="00445509" w:rsidRDefault="00445509" w:rsidP="00445509"/>
    <w:p w14:paraId="0514F28A" w14:textId="77777777" w:rsidR="00BB1917" w:rsidRDefault="00BB1917" w:rsidP="00BB1917">
      <w:pPr>
        <w:rPr>
          <w:rFonts w:ascii="Garamond" w:hAnsi="Garamond"/>
          <w:sz w:val="24"/>
          <w:szCs w:val="24"/>
        </w:rPr>
      </w:pPr>
      <w:r>
        <w:rPr>
          <w:rFonts w:ascii="Garamond" w:hAnsi="Garamond"/>
          <w:sz w:val="24"/>
          <w:szCs w:val="24"/>
        </w:rPr>
        <w:t>In dieser Arbeit wird das Thema der ERP in der Cloud behandelt. Wie verlief eigentlich die Entwicklung  zur Cloud? Zu Beginn war das Internet sehr teuer und langsam. „</w:t>
      </w:r>
      <w:r>
        <w:rPr>
          <w:rFonts w:ascii="Garamond" w:hAnsi="Garamond" w:cs="Arial"/>
          <w:sz w:val="24"/>
          <w:szCs w:val="24"/>
          <w:shd w:val="clear" w:color="auto" w:fill="FFFFFF"/>
        </w:rPr>
        <w:t>Am Anfang kostete ein Datenvolumen von 1 GByte rund 60.000 Mark pro Monat, ein einfaches Mail-Postfach 75 Mark. „</w:t>
      </w:r>
      <w:sdt>
        <w:sdtPr>
          <w:rPr>
            <w:rFonts w:ascii="Garamond" w:hAnsi="Garamond" w:cs="Arial"/>
            <w:sz w:val="24"/>
            <w:szCs w:val="24"/>
            <w:shd w:val="clear" w:color="auto" w:fill="FFFFFF"/>
          </w:rPr>
          <w:id w:val="262815613"/>
          <w:citation/>
        </w:sdtPr>
        <w:sdtEndPr/>
        <w:sdtContent>
          <w:r>
            <w:rPr>
              <w:rFonts w:ascii="Garamond" w:hAnsi="Garamond" w:cs="Arial"/>
              <w:sz w:val="24"/>
              <w:szCs w:val="24"/>
              <w:shd w:val="clear" w:color="auto" w:fill="FFFFFF"/>
            </w:rPr>
            <w:fldChar w:fldCharType="begin"/>
          </w:r>
          <w:r>
            <w:rPr>
              <w:rFonts w:ascii="Garamond" w:hAnsi="Garamond" w:cs="Arial"/>
              <w:sz w:val="24"/>
              <w:szCs w:val="24"/>
              <w:shd w:val="clear" w:color="auto" w:fill="FFFFFF"/>
            </w:rPr>
            <w:instrText xml:space="preserve"> CITATION Det06 \l 1031 </w:instrText>
          </w:r>
          <w:r>
            <w:rPr>
              <w:rFonts w:ascii="Garamond" w:hAnsi="Garamond" w:cs="Arial"/>
              <w:sz w:val="24"/>
              <w:szCs w:val="24"/>
              <w:shd w:val="clear" w:color="auto" w:fill="FFFFFF"/>
            </w:rPr>
            <w:fldChar w:fldCharType="separate"/>
          </w:r>
          <w:r w:rsidR="00703252">
            <w:rPr>
              <w:rFonts w:ascii="Garamond" w:hAnsi="Garamond" w:cs="Arial"/>
              <w:noProof/>
              <w:sz w:val="24"/>
              <w:szCs w:val="24"/>
              <w:shd w:val="clear" w:color="auto" w:fill="FFFFFF"/>
            </w:rPr>
            <w:t xml:space="preserve"> </w:t>
          </w:r>
          <w:r w:rsidR="00703252" w:rsidRPr="00703252">
            <w:rPr>
              <w:rFonts w:ascii="Garamond" w:hAnsi="Garamond" w:cs="Arial"/>
              <w:noProof/>
              <w:sz w:val="24"/>
              <w:szCs w:val="24"/>
              <w:shd w:val="clear" w:color="auto" w:fill="FFFFFF"/>
            </w:rPr>
            <w:t>(Borchers, 2006)</w:t>
          </w:r>
          <w:r>
            <w:rPr>
              <w:rFonts w:ascii="Garamond" w:hAnsi="Garamond" w:cs="Arial"/>
              <w:sz w:val="24"/>
              <w:szCs w:val="24"/>
              <w:shd w:val="clear" w:color="auto" w:fill="FFFFFF"/>
            </w:rPr>
            <w:fldChar w:fldCharType="end"/>
          </w:r>
        </w:sdtContent>
      </w:sdt>
      <w:r>
        <w:rPr>
          <w:rFonts w:ascii="Garamond" w:hAnsi="Garamond" w:cs="Arial"/>
          <w:sz w:val="24"/>
          <w:szCs w:val="24"/>
          <w:shd w:val="clear" w:color="auto" w:fill="FFFFFF"/>
        </w:rPr>
        <w:t>. Diese Kosten waren zu hoch, wenn man bedenkt wie viele Nachrichten heute verschickt werden. Die Leitungsgeschwindigkeiten waren zu niedrig und die Verbindungen waren zu unsicher. Zu diesem Zeitpunkt war die Cloud so wie wir sie heute kennen einfach nicht möglich. Auch die Art wie die Datenverarbeitung erfolgt hat sich gewandelt. Damals wurden hauptsächlich Computer als Produkt verkauft. Die Software stand da eher im Hintergrund. Sie musste vom Kunden selbst programmiert werden. Dies hat sich gewandelt. Heutzutage ist es nicht mehr notwendig Experten vor Ort zu haben. Man muss eher anpassen, installieren, Parameter eingeben. Die Lösungen sind dementsprechend viel kompletter geworden. Es braucht nicht mehr viele Leute, die selbst programmieren.</w:t>
      </w:r>
    </w:p>
    <w:p w14:paraId="219980A3" w14:textId="3ABC7E63" w:rsidR="00F464AE" w:rsidRDefault="00F464AE" w:rsidP="00B44D8D">
      <w:pPr>
        <w:rPr>
          <w:rFonts w:ascii="Garamond" w:hAnsi="Garamond"/>
          <w:sz w:val="24"/>
          <w:szCs w:val="24"/>
        </w:rPr>
      </w:pPr>
    </w:p>
    <w:p w14:paraId="7522ECB0" w14:textId="77777777" w:rsidR="00445509" w:rsidRDefault="00445509" w:rsidP="00B44D8D">
      <w:pPr>
        <w:rPr>
          <w:rFonts w:ascii="Garamond" w:hAnsi="Garamond"/>
          <w:sz w:val="24"/>
          <w:szCs w:val="24"/>
        </w:rPr>
      </w:pPr>
    </w:p>
    <w:p w14:paraId="57DF22BB" w14:textId="77777777" w:rsidR="00445509" w:rsidRDefault="00445509" w:rsidP="00B44D8D">
      <w:pPr>
        <w:rPr>
          <w:rFonts w:ascii="Garamond" w:hAnsi="Garamond"/>
          <w:sz w:val="24"/>
          <w:szCs w:val="24"/>
        </w:rPr>
      </w:pPr>
    </w:p>
    <w:p w14:paraId="26445772" w14:textId="77777777" w:rsidR="00445509" w:rsidRDefault="00445509" w:rsidP="00B44D8D">
      <w:pPr>
        <w:rPr>
          <w:rFonts w:ascii="Garamond" w:hAnsi="Garamond"/>
          <w:sz w:val="24"/>
          <w:szCs w:val="24"/>
        </w:rPr>
      </w:pPr>
    </w:p>
    <w:p w14:paraId="26DB7F64" w14:textId="77777777" w:rsidR="00445509" w:rsidRDefault="00445509" w:rsidP="00B44D8D">
      <w:pPr>
        <w:rPr>
          <w:rFonts w:ascii="Garamond" w:hAnsi="Garamond"/>
          <w:sz w:val="24"/>
          <w:szCs w:val="24"/>
        </w:rPr>
      </w:pPr>
    </w:p>
    <w:p w14:paraId="4DB2E409" w14:textId="77777777" w:rsidR="00445509" w:rsidRDefault="00445509" w:rsidP="00B44D8D">
      <w:pPr>
        <w:rPr>
          <w:rFonts w:ascii="Garamond" w:hAnsi="Garamond"/>
          <w:sz w:val="24"/>
          <w:szCs w:val="24"/>
        </w:rPr>
      </w:pPr>
    </w:p>
    <w:p w14:paraId="62E31CC3" w14:textId="77777777" w:rsidR="00445509" w:rsidRDefault="00445509" w:rsidP="00B44D8D">
      <w:pPr>
        <w:rPr>
          <w:rFonts w:ascii="Garamond" w:hAnsi="Garamond"/>
          <w:sz w:val="24"/>
          <w:szCs w:val="24"/>
        </w:rPr>
      </w:pPr>
    </w:p>
    <w:p w14:paraId="3DD34978" w14:textId="77777777" w:rsidR="00445509" w:rsidRDefault="00445509" w:rsidP="00B44D8D"/>
    <w:p w14:paraId="29953CA6" w14:textId="77777777" w:rsidR="008D0E1A" w:rsidRDefault="008D0E1A" w:rsidP="00B44D8D"/>
    <w:p w14:paraId="5D447DAD" w14:textId="77777777" w:rsidR="008D0E1A" w:rsidRDefault="008D0E1A" w:rsidP="00B44D8D"/>
    <w:p w14:paraId="279639BB" w14:textId="77777777" w:rsidR="008D0E1A" w:rsidRDefault="008D0E1A" w:rsidP="00B44D8D"/>
    <w:p w14:paraId="49317348" w14:textId="77777777" w:rsidR="008D0E1A" w:rsidRDefault="008D0E1A" w:rsidP="00B44D8D"/>
    <w:p w14:paraId="09205B6A" w14:textId="77777777" w:rsidR="008D0E1A" w:rsidRDefault="008D0E1A" w:rsidP="00B44D8D"/>
    <w:p w14:paraId="395FA536" w14:textId="77777777" w:rsidR="008D0E1A" w:rsidRDefault="008D0E1A" w:rsidP="00B44D8D"/>
    <w:p w14:paraId="2551C8D5" w14:textId="77777777" w:rsidR="008D0E1A" w:rsidRDefault="008D0E1A" w:rsidP="00B44D8D"/>
    <w:p w14:paraId="4D926068" w14:textId="77777777" w:rsidR="008D0E1A" w:rsidRDefault="008D0E1A" w:rsidP="00B44D8D"/>
    <w:p w14:paraId="03894522" w14:textId="77777777" w:rsidR="008D0E1A" w:rsidRDefault="008D0E1A" w:rsidP="00B44D8D"/>
    <w:p w14:paraId="442DEA8A" w14:textId="77777777" w:rsidR="008D0E1A" w:rsidRDefault="008D0E1A" w:rsidP="00B44D8D"/>
    <w:p w14:paraId="308B8B06" w14:textId="77777777" w:rsidR="008D0E1A" w:rsidRDefault="008D0E1A" w:rsidP="00B44D8D"/>
    <w:p w14:paraId="5F18D860" w14:textId="77777777" w:rsidR="008D0E1A" w:rsidRDefault="008D0E1A"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954512"/>
      <w:r w:rsidRPr="00B44D8D">
        <w:rPr>
          <w:rFonts w:ascii="Garamond" w:hAnsi="Garamond"/>
        </w:rPr>
        <w:lastRenderedPageBreak/>
        <w:t>Private vs public Cloud</w:t>
      </w:r>
      <w:bookmarkEnd w:id="1"/>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IT-Infrastruktur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public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Alle Clouds bestehen aus denselben grundlegenden Technologien: Betriebssystem, Virtualisierungssoftware, Management- und Automatisierungs-Tools sowie Application Programming Interfaces.</w:t>
      </w:r>
      <w:r w:rsidR="005D0CE9">
        <w:rPr>
          <w:rFonts w:ascii="Garamond" w:hAnsi="Garamond"/>
          <w:sz w:val="24"/>
          <w:szCs w:val="24"/>
        </w:rPr>
        <w:t>“</w:t>
      </w:r>
      <w:sdt>
        <w:sdtPr>
          <w:rPr>
            <w:rFonts w:ascii="Garamond" w:hAnsi="Garamond"/>
            <w:color w:val="000000" w:themeColor="text1"/>
            <w:sz w:val="24"/>
            <w:szCs w:val="24"/>
          </w:rPr>
          <w:id w:val="-1077662341"/>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Im Gegensatz dazu ist es bei der public Cloud der Fall, dass die IT-Dienste durch einen frei zugänglichen Provider offen, für jeden verfügbar gemacht werden. Beispiele für eine public Cloud sind Microsoft 356 oder SAP Business By Design. Es</w:t>
      </w:r>
      <w:r w:rsidR="00BE5C42">
        <w:rPr>
          <w:rFonts w:ascii="Garamond" w:hAnsi="Garamond"/>
          <w:sz w:val="24"/>
          <w:szCs w:val="24"/>
        </w:rPr>
        <w:t xml:space="preserve"> ist auch eine Kombination zur Hybrid-Cloud-Lösung möglich. Normalerweise ha diese Art von Cloud-Lösungen zwei Modelle -IaaS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r w:rsidRPr="004B46B8">
        <w:rPr>
          <w:rFonts w:ascii="Garamond" w:hAnsi="Garamond"/>
          <w:color w:val="000000" w:themeColor="text1"/>
          <w:sz w:val="24"/>
          <w:szCs w:val="24"/>
        </w:rPr>
        <w:t>public</w:t>
      </w:r>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Pay-as-you-go-Modell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public Cloud eignet sich sehr gut für alltägliche Geschäftsapplikationen wie zum Beispiel CRM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End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ERP oder Forschung und Entwicklung. Auch im Punkt Sicherheit gibt es einiges zu beachten</w:t>
      </w:r>
      <w:r w:rsidR="004B46B8">
        <w:rPr>
          <w:rFonts w:ascii="Garamond" w:hAnsi="Garamond"/>
          <w:color w:val="000000" w:themeColor="text1"/>
          <w:sz w:val="24"/>
          <w:szCs w:val="24"/>
        </w:rPr>
        <w:t>. Die public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Workloads.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r w:rsidRPr="00715934">
        <w:rPr>
          <w:rFonts w:ascii="Garamond" w:hAnsi="Garamond"/>
          <w:color w:val="000000" w:themeColor="text1"/>
          <w:sz w:val="24"/>
          <w:szCs w:val="24"/>
        </w:rPr>
        <w:t>Workloads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Für Workloads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28036129" w14:textId="25427EB9" w:rsidR="00CE32CC" w:rsidRDefault="00E70156" w:rsidP="0015248C">
      <w:pPr>
        <w:rPr>
          <w:rFonts w:ascii="Garamond" w:hAnsi="Garamond"/>
          <w:sz w:val="24"/>
          <w:szCs w:val="24"/>
        </w:rPr>
      </w:pPr>
      <w:r>
        <w:rPr>
          <w:rFonts w:ascii="Garamond" w:hAnsi="Garamond"/>
          <w:sz w:val="24"/>
          <w:szCs w:val="24"/>
        </w:rPr>
        <w:t>Architektur Modell von public Cloud &amp; private Cloud Grafik hier einfügen</w:t>
      </w:r>
    </w:p>
    <w:p w14:paraId="54B1FF1D" w14:textId="08B271B0" w:rsidR="00EA01C8" w:rsidRPr="0015248C" w:rsidRDefault="00EA01C8" w:rsidP="0015248C">
      <w:pPr>
        <w:rPr>
          <w:rFonts w:ascii="Garamond" w:hAnsi="Garamond"/>
          <w:sz w:val="24"/>
          <w:szCs w:val="24"/>
        </w:rPr>
      </w:pPr>
      <w:r>
        <w:rPr>
          <w:rFonts w:ascii="Garamond" w:hAnsi="Garamond"/>
          <w:sz w:val="24"/>
          <w:szCs w:val="24"/>
        </w:rPr>
        <w:t>Gibt es eigentlich ERP-Systeme, die public Cloud nutzen?</w:t>
      </w:r>
    </w:p>
    <w:p w14:paraId="1EF7066C" w14:textId="77777777" w:rsidR="00B44D8D" w:rsidRDefault="00B44D8D" w:rsidP="00B44D8D">
      <w:pPr>
        <w:pStyle w:val="berschrift1"/>
        <w:numPr>
          <w:ilvl w:val="0"/>
          <w:numId w:val="3"/>
        </w:numPr>
        <w:rPr>
          <w:rFonts w:ascii="Garamond" w:hAnsi="Garamond"/>
        </w:rPr>
      </w:pPr>
      <w:bookmarkStart w:id="2" w:name="_Toc23954513"/>
      <w:r w:rsidRPr="00937B7E">
        <w:rPr>
          <w:rFonts w:ascii="Garamond" w:hAnsi="Garamond"/>
        </w:rPr>
        <w:lastRenderedPageBreak/>
        <w:t>Architekturen (single Tenancy,Virtualisierung, Multitenancy)</w:t>
      </w:r>
      <w:bookmarkEnd w:id="2"/>
    </w:p>
    <w:p w14:paraId="1122FB8A" w14:textId="77777777" w:rsidR="005D3F95" w:rsidRPr="005D3F95" w:rsidRDefault="005D3F95" w:rsidP="005D3F95">
      <w:pPr>
        <w:rPr>
          <w:rFonts w:ascii="Garamond" w:hAnsi="Garamond"/>
          <w:sz w:val="24"/>
          <w:szCs w:val="24"/>
        </w:rPr>
      </w:pPr>
    </w:p>
    <w:p w14:paraId="4071EFB5" w14:textId="4C44D794" w:rsidR="00B92857" w:rsidRPr="00BB1917" w:rsidRDefault="005D3F95" w:rsidP="00B44D8D">
      <w:pPr>
        <w:rPr>
          <w:rFonts w:ascii="Garamond" w:hAnsi="Garamond"/>
          <w:sz w:val="24"/>
          <w:szCs w:val="24"/>
        </w:rPr>
      </w:pPr>
      <w:r w:rsidRPr="00BB1917">
        <w:rPr>
          <w:rFonts w:ascii="Garamond" w:hAnsi="Garamond"/>
          <w:sz w:val="24"/>
          <w:szCs w:val="24"/>
        </w:rPr>
        <w:t>In der Virtualisierung werden aus einem physischen Hardware-System mehrere simulierte Umgebungen oder dedizierte Ressourcen erstellt. Die Software, die auch Hypervisor genannt wird, verbindet sich hierbei direkt mit der Hardware. Das Resultat ist eine Aufteilung des Systems in mehrere separate und differenzierbare Umgebungen. Diese werden virtuelle Maschinen (VMs) genannt. Die physische Hardware mit dem Hypervisor wird als Host bezeichnet und die virtuellen Maschinen, die die Hardwareressourcen nutzen heißen Guests. Beispiele für Einsatzmöglichkeiten sind die Server-Virtualisierung oder auch die Virtualisierung von Betriebssystemen</w:t>
      </w:r>
      <w:r w:rsidR="001F0CEE" w:rsidRPr="00BB1917">
        <w:rPr>
          <w:rFonts w:ascii="Garamond" w:hAnsi="Garamond"/>
          <w:sz w:val="24"/>
          <w:szCs w:val="24"/>
        </w:rPr>
        <w:t>. Vorteile der Nutzung von Virtualisierung sind zum einen, dass die physischen Ressourcen gesammelt werden und die Hardware so komplett verwendet werden kann.</w:t>
      </w:r>
      <w:r w:rsidRPr="00BB1917">
        <w:rPr>
          <w:rFonts w:ascii="Garamond" w:hAnsi="Garamond"/>
          <w:sz w:val="24"/>
          <w:szCs w:val="24"/>
        </w:rPr>
        <w:t xml:space="preserve"> </w:t>
      </w:r>
      <w:r w:rsidR="001F0CEE" w:rsidRPr="00BB1917">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A046AB2" w14:textId="15D23F69" w:rsidR="00BB1917" w:rsidRPr="00BB1917" w:rsidRDefault="00B92857" w:rsidP="00BB1917">
      <w:pPr>
        <w:pStyle w:val="KeinLeerraum"/>
        <w:rPr>
          <w:rFonts w:ascii="Garamond" w:hAnsi="Garamond"/>
          <w:color w:val="000000" w:themeColor="text1"/>
          <w:sz w:val="24"/>
          <w:szCs w:val="24"/>
        </w:rPr>
      </w:pPr>
      <w:r w:rsidRPr="00BB1917">
        <w:rPr>
          <w:rFonts w:ascii="Garamond" w:hAnsi="Garamond"/>
          <w:sz w:val="24"/>
          <w:szCs w:val="24"/>
        </w:rPr>
        <w:t>Der Unterschied zwischen Cloud und Virtualisierung und Cloud ist: „Virtualisierung ist eine Technologie, die Funktionen von Hardware trennt. Cloud Computing ist eine Lösung, die auf dieser Trennung basiert.“</w:t>
      </w:r>
      <w:sdt>
        <w:sdtPr>
          <w:rPr>
            <w:rFonts w:ascii="Garamond" w:hAnsi="Garamond"/>
            <w:color w:val="000000" w:themeColor="text1"/>
            <w:sz w:val="24"/>
            <w:szCs w:val="24"/>
          </w:rPr>
          <w:id w:val="-2106717264"/>
          <w:citation/>
        </w:sdtPr>
        <w:sdtEndPr/>
        <w:sdtContent>
          <w:r w:rsidR="00546D86" w:rsidRPr="00BB1917">
            <w:rPr>
              <w:rFonts w:ascii="Garamond" w:hAnsi="Garamond"/>
              <w:color w:val="000000" w:themeColor="text1"/>
              <w:sz w:val="24"/>
              <w:szCs w:val="24"/>
            </w:rPr>
            <w:fldChar w:fldCharType="begin"/>
          </w:r>
          <w:r w:rsidR="00CC7BD6" w:rsidRPr="00BB1917">
            <w:rPr>
              <w:rFonts w:ascii="Garamond" w:hAnsi="Garamond"/>
              <w:color w:val="000000" w:themeColor="text1"/>
              <w:sz w:val="24"/>
              <w:szCs w:val="24"/>
            </w:rPr>
            <w:instrText xml:space="preserve">CITATION VirtualisierungRed19 \l 1031 </w:instrText>
          </w:r>
          <w:r w:rsidR="00546D86" w:rsidRPr="00BB1917">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546D86" w:rsidRPr="00BB1917">
            <w:rPr>
              <w:rFonts w:ascii="Garamond" w:hAnsi="Garamond"/>
              <w:color w:val="000000" w:themeColor="text1"/>
              <w:sz w:val="24"/>
              <w:szCs w:val="24"/>
            </w:rPr>
            <w:fldChar w:fldCharType="end"/>
          </w:r>
        </w:sdtContent>
      </w:sdt>
      <w:r w:rsidRPr="00BB1917">
        <w:rPr>
          <w:rFonts w:ascii="Garamond" w:hAnsi="Garamond"/>
          <w:color w:val="000000" w:themeColor="text1"/>
          <w:sz w:val="24"/>
          <w:szCs w:val="24"/>
        </w:rPr>
        <w:t xml:space="preserve">Die Abgrenzung zwischen einem Container und einer Virtualisierung </w:t>
      </w:r>
      <w:r w:rsidR="009F5CCE" w:rsidRPr="00BB1917">
        <w:rPr>
          <w:rFonts w:ascii="Garamond" w:hAnsi="Garamond"/>
          <w:color w:val="000000" w:themeColor="text1"/>
          <w:sz w:val="24"/>
          <w:szCs w:val="24"/>
        </w:rPr>
        <w:t>besteht</w:t>
      </w:r>
      <w:r w:rsidRPr="00BB1917">
        <w:rPr>
          <w:rFonts w:ascii="Garamond" w:hAnsi="Garamond"/>
          <w:color w:val="000000" w:themeColor="text1"/>
          <w:sz w:val="24"/>
          <w:szCs w:val="24"/>
        </w:rPr>
        <w:t xml:space="preserve"> darin, dass </w:t>
      </w:r>
      <w:r w:rsidR="009F5CCE" w:rsidRPr="00BB1917">
        <w:rPr>
          <w:rFonts w:ascii="Garamond" w:hAnsi="Garamond"/>
          <w:color w:val="000000" w:themeColor="text1"/>
          <w:sz w:val="24"/>
          <w:szCs w:val="24"/>
        </w:rPr>
        <w:t xml:space="preserve">in virtuellen Maschinen Container ausgeführt werden können, Container aber sind nicht an virtuelle Umgebungen gebunden (vgl. Abbildung 1). </w:t>
      </w:r>
      <w:r w:rsidR="008B1999" w:rsidRPr="00BB1917">
        <w:rPr>
          <w:rFonts w:ascii="Garamond" w:hAnsi="Garamond"/>
          <w:color w:val="000000" w:themeColor="text1"/>
          <w:sz w:val="24"/>
          <w:szCs w:val="24"/>
        </w:rPr>
        <w:t xml:space="preserve">VMs sind allerdings etwas begrenzt in den Fähigkeiten, da sie in Abhängigkeit stehen bzgl. der Ressourcen der physischen Maschine </w:t>
      </w:r>
    </w:p>
    <w:p w14:paraId="40B76E3A" w14:textId="77777777" w:rsidR="00BB1917" w:rsidRPr="00BB1917" w:rsidRDefault="00BB1917" w:rsidP="00BB1917">
      <w:pPr>
        <w:pStyle w:val="KeinLeerraum"/>
        <w:rPr>
          <w:rFonts w:ascii="Garamond" w:hAnsi="Garamond"/>
          <w:sz w:val="24"/>
          <w:szCs w:val="24"/>
        </w:rPr>
      </w:pPr>
    </w:p>
    <w:p w14:paraId="7E617AAB" w14:textId="22DEDE01" w:rsidR="00BB1917" w:rsidRPr="00BB1917" w:rsidRDefault="00BB1917" w:rsidP="00BB1917">
      <w:pPr>
        <w:rPr>
          <w:rFonts w:ascii="Garamond" w:hAnsi="Garamond"/>
          <w:sz w:val="24"/>
          <w:szCs w:val="24"/>
        </w:rPr>
      </w:pPr>
      <w:r w:rsidRPr="00BB1917">
        <w:rPr>
          <w:rFonts w:ascii="Garamond" w:hAnsi="Garamond"/>
          <w:sz w:val="24"/>
          <w:szCs w:val="24"/>
        </w:rPr>
        <w:t xml:space="preserve">Bei Single Tenancy handelt sich um eine Software-Architektur, die von Host Providern angeboten wird. Hier ist es so, dass „a single instance of a software application and supporting infrastructure serves one customer“ </w:t>
      </w:r>
      <w:sdt>
        <w:sdtPr>
          <w:rPr>
            <w:rFonts w:ascii="Garamond" w:hAnsi="Garamond"/>
            <w:sz w:val="24"/>
            <w:szCs w:val="24"/>
          </w:rPr>
          <w:id w:val="-403759740"/>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sidRPr="003A50F9">
        <w:rPr>
          <w:rFonts w:ascii="Garamond" w:hAnsi="Garamond"/>
          <w:sz w:val="24"/>
          <w:szCs w:val="24"/>
        </w:rPr>
        <w:t xml:space="preserve">. </w:t>
      </w:r>
      <w:r w:rsidRPr="00BB1917">
        <w:rPr>
          <w:rFonts w:ascii="Garamond" w:hAnsi="Garamond"/>
          <w:sz w:val="24"/>
          <w:szCs w:val="24"/>
        </w:rPr>
        <w:t>Die Kunden werden als tenants oder Mandanten bezeichnet. Nur der Kunde alleine kann auf die Anwendungsprogramme zugreifen und diese nutzen und auch nur für diesen einzelnen Kunden werden diese auch installiert. Man kann also sagen, dass „the tenant purchases their own copy of the software“</w:t>
      </w:r>
      <w:sdt>
        <w:sdtPr>
          <w:rPr>
            <w:rFonts w:ascii="Garamond" w:hAnsi="Garamond"/>
            <w:sz w:val="24"/>
            <w:szCs w:val="24"/>
          </w:rPr>
          <w:id w:val="-511375005"/>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b/>
              <w:noProof/>
              <w:sz w:val="24"/>
              <w:szCs w:val="24"/>
            </w:rPr>
            <w:t xml:space="preserve"> </w:t>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Pr>
          <w:rFonts w:ascii="Garamond" w:hAnsi="Garamond"/>
          <w:sz w:val="24"/>
          <w:szCs w:val="24"/>
        </w:rPr>
        <w:t xml:space="preserve">. </w:t>
      </w:r>
      <w:r w:rsidRPr="00BB1917">
        <w:rPr>
          <w:rFonts w:ascii="Garamond" w:hAnsi="Garamond"/>
          <w:sz w:val="24"/>
          <w:szCs w:val="24"/>
        </w:rPr>
        <w:t>Diese Software kann dann an die jeweiligen Bedürfnisse des einzelnen Kunden angepasst werden.</w:t>
      </w:r>
    </w:p>
    <w:p w14:paraId="73D56D7E" w14:textId="38C27BBA" w:rsidR="00BB1917" w:rsidRDefault="00BB1917" w:rsidP="00BB1917">
      <w:pPr>
        <w:rPr>
          <w:rFonts w:ascii="Garamond" w:hAnsi="Garamond"/>
          <w:sz w:val="24"/>
          <w:szCs w:val="24"/>
        </w:rPr>
      </w:pPr>
      <w:r w:rsidRPr="00BB1917">
        <w:rPr>
          <w:rFonts w:ascii="Garamond" w:hAnsi="Garamond"/>
          <w:sz w:val="24"/>
          <w:szCs w:val="24"/>
        </w:rPr>
        <w:t>Multitenancy</w:t>
      </w:r>
      <w:r>
        <w:rPr>
          <w:rFonts w:ascii="Garamond" w:hAnsi="Garamond"/>
          <w:sz w:val="24"/>
          <w:szCs w:val="24"/>
        </w:rPr>
        <w:t xml:space="preserve">-System werden auch mandantenfähige Systeme genannt. Hier werden mit einer Software-Instanz verschiedene Nutzer bedient. Ein tenant muss nicht unbedingt ein Einzelanwender sein, sondern es können auch ganze Nutzergruppen sein, die die gleichen Nutzerrechte haben. Die Nutzer eines mandantenfähigen Systems teilen sich teilen sich eine gleiche Anwendungsinstanz. Diese läuft auf dem identischen Betriebssystem und Hardware. Es ist hierbei zu achten, dass die Daten der Mandanten nicht vermischt werden. </w:t>
      </w:r>
      <w:r w:rsidRPr="00985C19">
        <w:rPr>
          <w:rFonts w:ascii="Garamond" w:hAnsi="Garamond"/>
          <w:sz w:val="24"/>
          <w:szCs w:val="24"/>
        </w:rPr>
        <w:t>Multitenancy</w:t>
      </w:r>
      <w:r>
        <w:rPr>
          <w:rFonts w:ascii="Garamond" w:hAnsi="Garamond"/>
          <w:sz w:val="24"/>
          <w:szCs w:val="24"/>
        </w:rPr>
        <w:t xml:space="preserve"> Architektur geht auch auf die Bedürfnisse bzw. Anforderungen der einzelnen Mandanten ein zum Beispiel hinsichtlich Zugriffsrechte oder des Workflows.</w:t>
      </w:r>
    </w:p>
    <w:p w14:paraId="5DD66518" w14:textId="77777777" w:rsidR="00BB1917" w:rsidRDefault="00BB1917" w:rsidP="00BB1917">
      <w:pPr>
        <w:rPr>
          <w:rFonts w:ascii="Garamond" w:hAnsi="Garamond"/>
          <w:sz w:val="24"/>
          <w:szCs w:val="24"/>
        </w:rPr>
      </w:pPr>
    </w:p>
    <w:p w14:paraId="360BCC08" w14:textId="77777777" w:rsidR="00BB1917" w:rsidRDefault="00BB1917" w:rsidP="00BB1917">
      <w:pPr>
        <w:keepNext/>
      </w:pPr>
      <w:r>
        <w:rPr>
          <w:noProof/>
          <w:lang w:eastAsia="de-DE"/>
        </w:rPr>
        <w:lastRenderedPageBreak/>
        <w:drawing>
          <wp:inline distT="0" distB="0" distL="0" distR="0" wp14:anchorId="20AEEC86" wp14:editId="71B49B9B">
            <wp:extent cx="3924300" cy="2983455"/>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525" cy="3000351"/>
                    </a:xfrm>
                    <a:prstGeom prst="rect">
                      <a:avLst/>
                    </a:prstGeom>
                  </pic:spPr>
                </pic:pic>
              </a:graphicData>
            </a:graphic>
          </wp:inline>
        </w:drawing>
      </w:r>
    </w:p>
    <w:p w14:paraId="04F14056" w14:textId="5D4A83A9" w:rsidR="00BB1917" w:rsidRDefault="00BB1917" w:rsidP="00BB1917">
      <w:pPr>
        <w:pStyle w:val="Beschriftung"/>
        <w:rPr>
          <w:rFonts w:ascii="Garamond" w:hAnsi="Garamond"/>
          <w:sz w:val="24"/>
          <w:szCs w:val="24"/>
        </w:rPr>
      </w:pPr>
      <w:bookmarkStart w:id="3" w:name="_Toc23954600"/>
      <w:r>
        <w:t xml:space="preserve">Abbildung </w:t>
      </w:r>
      <w:r w:rsidR="000E2679">
        <w:rPr>
          <w:noProof/>
        </w:rPr>
        <w:fldChar w:fldCharType="begin"/>
      </w:r>
      <w:r w:rsidR="000E2679">
        <w:rPr>
          <w:noProof/>
        </w:rPr>
        <w:instrText xml:space="preserve"> SEQ Abbildung \* ARABIC </w:instrText>
      </w:r>
      <w:r w:rsidR="000E2679">
        <w:rPr>
          <w:noProof/>
        </w:rPr>
        <w:fldChar w:fldCharType="separate"/>
      </w:r>
      <w:r w:rsidR="00F44D7D">
        <w:rPr>
          <w:noProof/>
        </w:rPr>
        <w:t>1</w:t>
      </w:r>
      <w:r w:rsidR="000E2679">
        <w:rPr>
          <w:noProof/>
        </w:rPr>
        <w:fldChar w:fldCharType="end"/>
      </w:r>
      <w:r>
        <w:t xml:space="preserve">:Multi-tenant vs. single-tenant , Quelle: </w:t>
      </w:r>
      <w:hyperlink r:id="rId9" w:history="1">
        <w:r>
          <w:rPr>
            <w:rStyle w:val="Hyperlink"/>
          </w:rPr>
          <w:t>https://searchcloudcomputing.techtarget.com/definition/single-tenancy</w:t>
        </w:r>
      </w:hyperlink>
      <w:r>
        <w:t xml:space="preserve"> ,Funddatum</w:t>
      </w:r>
      <w:r>
        <w:rPr>
          <w:noProof/>
        </w:rPr>
        <w:t>: 6.11.2019</w:t>
      </w:r>
      <w:bookmarkEnd w:id="3"/>
    </w:p>
    <w:p w14:paraId="4123ED23" w14:textId="77777777" w:rsidR="00BB1917" w:rsidRDefault="00BB1917" w:rsidP="00BB1917">
      <w:pPr>
        <w:rPr>
          <w:rFonts w:ascii="Garamond" w:hAnsi="Garamond"/>
          <w:sz w:val="24"/>
          <w:szCs w:val="24"/>
        </w:rPr>
      </w:pPr>
    </w:p>
    <w:p w14:paraId="264BA92B" w14:textId="51810B9B" w:rsidR="00BB1917" w:rsidRPr="00BB1917" w:rsidRDefault="00BB1917" w:rsidP="00BB1917">
      <w:pPr>
        <w:rPr>
          <w:rFonts w:ascii="Garamond" w:hAnsi="Garamond"/>
          <w:sz w:val="24"/>
          <w:szCs w:val="24"/>
        </w:rPr>
      </w:pPr>
      <w:r w:rsidRPr="00BB1917">
        <w:rPr>
          <w:rFonts w:ascii="Garamond" w:hAnsi="Garamond"/>
          <w:sz w:val="24"/>
          <w:szCs w:val="24"/>
        </w:rPr>
        <w:t>Die Vorteile für den Kunden sind, dass er sich im Idealfall einen Teil der Lizenzkosten sparen kann, falls die Software unter dem Multitenancy-Programm auch gemeinsam genutzt wird. Ein Beispiel wäre hier die Datenbank oder das Betriebssystem. Außerdem können Ressourcen effizienter genutzt werden, da sich mehrere tenants eine Anwendungsinstanz teilen. Dies reduziert auch den Overhead. Als Nachteil gilt, dass fehlgelaufene Updates alle Mandanten gleichzeitig betreffen. Und dies ist wenn man sein ERP dort laufen lässt eher ungünstig, da es so essentiell für das Unternehmen ist.</w:t>
      </w:r>
    </w:p>
    <w:p w14:paraId="267E01FC" w14:textId="77777777" w:rsidR="00BB1917" w:rsidRPr="009F5CCE" w:rsidRDefault="00BB1917" w:rsidP="00B92857">
      <w:pPr>
        <w:rPr>
          <w:rFonts w:ascii="Garamond" w:hAnsi="Garamond"/>
          <w:color w:val="000000" w:themeColor="text1"/>
          <w:sz w:val="24"/>
          <w:szCs w:val="24"/>
        </w:rPr>
      </w:pP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3C4C0134" w:rsidR="00D93153" w:rsidRDefault="00D93153" w:rsidP="00D93153">
      <w:pPr>
        <w:pStyle w:val="Beschriftung"/>
      </w:pPr>
      <w:bookmarkStart w:id="4" w:name="_Toc23954601"/>
      <w:r>
        <w:t xml:space="preserve">Abbildung </w:t>
      </w:r>
      <w:r w:rsidR="000E2679">
        <w:rPr>
          <w:noProof/>
        </w:rPr>
        <w:fldChar w:fldCharType="begin"/>
      </w:r>
      <w:r w:rsidR="000E2679">
        <w:rPr>
          <w:noProof/>
        </w:rPr>
        <w:instrText xml:space="preserve"> SEQ Abbildung \* ARABIC </w:instrText>
      </w:r>
      <w:r w:rsidR="000E2679">
        <w:rPr>
          <w:noProof/>
        </w:rPr>
        <w:fldChar w:fldCharType="separate"/>
      </w:r>
      <w:r w:rsidR="00F44D7D">
        <w:rPr>
          <w:noProof/>
        </w:rPr>
        <w:t>2</w:t>
      </w:r>
      <w:r w:rsidR="000E2679">
        <w:rPr>
          <w:noProof/>
        </w:rPr>
        <w:fldChar w:fldCharType="end"/>
      </w:r>
      <w:r>
        <w:t xml:space="preserve"> Gegenüberstellung von Virtualisierung und Container</w:t>
      </w:r>
      <w:r w:rsidR="00EF5BC5">
        <w:t xml:space="preserve"> ,Quelle: </w:t>
      </w:r>
      <w:hyperlink r:id="rId11" w:history="1">
        <w:r w:rsidR="00EF5BC5">
          <w:rPr>
            <w:rStyle w:val="Hyperlink"/>
          </w:rPr>
          <w:t>https://www.redhat.com/de/topics/virtualization</w:t>
        </w:r>
      </w:hyperlink>
      <w:r w:rsidR="00EF5BC5">
        <w:t>, Funddatum: 01.11.2019</w:t>
      </w:r>
      <w:bookmarkEnd w:id="4"/>
    </w:p>
    <w:p w14:paraId="0055E6C8" w14:textId="77777777" w:rsidR="0095419E" w:rsidRPr="0095419E" w:rsidRDefault="0095419E" w:rsidP="0095419E"/>
    <w:p w14:paraId="692EF54B" w14:textId="4278D729" w:rsidR="00B44D8D" w:rsidRDefault="00B44D8D" w:rsidP="00B44D8D">
      <w:pPr>
        <w:pStyle w:val="berschrift1"/>
        <w:numPr>
          <w:ilvl w:val="0"/>
          <w:numId w:val="3"/>
        </w:numPr>
        <w:rPr>
          <w:rFonts w:ascii="Garamond" w:hAnsi="Garamond"/>
        </w:rPr>
      </w:pPr>
      <w:bookmarkStart w:id="5" w:name="_Toc23954514"/>
      <w:r w:rsidRPr="00937B7E">
        <w:rPr>
          <w:rFonts w:ascii="Garamond" w:hAnsi="Garamond"/>
        </w:rPr>
        <w:lastRenderedPageBreak/>
        <w:t>Innovationsgeschwindigkeit</w:t>
      </w:r>
      <w:bookmarkEnd w:id="5"/>
    </w:p>
    <w:p w14:paraId="30E32187" w14:textId="148A0586" w:rsidR="00FD10EC" w:rsidRDefault="00FD10EC" w:rsidP="00FD10EC"/>
    <w:p w14:paraId="1E04FCDF" w14:textId="77777777" w:rsidR="0095419E" w:rsidRPr="004F0D02" w:rsidRDefault="0095419E" w:rsidP="0095419E">
      <w:pPr>
        <w:rPr>
          <w:rFonts w:ascii="Garamond" w:hAnsi="Garamond"/>
          <w:sz w:val="24"/>
          <w:szCs w:val="24"/>
        </w:rPr>
      </w:pPr>
      <w:r w:rsidRPr="004F0D02">
        <w:rPr>
          <w:rFonts w:ascii="Garamond" w:hAnsi="Garamond"/>
          <w:sz w:val="24"/>
          <w:szCs w:val="24"/>
        </w:rPr>
        <w:t xml:space="preserve">Cloud-Lösungen werben vor allem mit laufend Updates, die auch laufen. Einige Anbieter updaten ihr Produkt auch mehr als 10 Mal im Jahr. Die Gründe, wieso ein solches Unternehmen relativ viel mehr Aktualisierungen im Vergleich zu einem On-Premise-Modell bieten, lassen sich eigentlich in knapp einem Wort zusammenfassen – Zeit.  </w:t>
      </w:r>
    </w:p>
    <w:p w14:paraId="4065C17E" w14:textId="77777777" w:rsidR="0095419E" w:rsidRPr="004F0D02" w:rsidRDefault="0095419E" w:rsidP="0095419E">
      <w:pPr>
        <w:rPr>
          <w:rFonts w:ascii="Garamond" w:hAnsi="Garamond"/>
          <w:sz w:val="24"/>
          <w:szCs w:val="24"/>
        </w:rPr>
      </w:pPr>
      <w:r w:rsidRPr="004F0D02">
        <w:rPr>
          <w:rFonts w:ascii="Garamond" w:hAnsi="Garamond"/>
          <w:sz w:val="24"/>
          <w:szCs w:val="24"/>
        </w:rPr>
        <w:t xml:space="preserve">Der Cloud-Lösungs-Anbieter hat Zeit sich auf die Software zu konzentrieren, denn das ist sein Tages– und Kerngeschäft. Wahrscheinlich ist der IT-Bereich auch so aufgeteilt, dass ein Teilgebiet sich um die Sicherheit kümmert, einer um den Support und ein anderer um die Verbesserung der Software. Die Abteilung kann also immer weiter ungestört an der Software herumexperimentieren ohne Probleme für den Kunden einzufügen. Die Prüfung der Aktualisierung verläuft zentral im Unternehmen – in einer sicheren Umgebung, abgegrenzt vom Kunden. Es wird auf Korrektheit und Qualität vor jeder Herausgabe geprüft. </w:t>
      </w:r>
    </w:p>
    <w:p w14:paraId="1ABCC762" w14:textId="4E34BD52" w:rsidR="0095419E" w:rsidRPr="004F0D02" w:rsidRDefault="0095419E" w:rsidP="0095419E">
      <w:pPr>
        <w:rPr>
          <w:rFonts w:ascii="Garamond" w:hAnsi="Garamond"/>
          <w:sz w:val="24"/>
          <w:szCs w:val="24"/>
        </w:rPr>
      </w:pPr>
      <w:r w:rsidRPr="004F0D02">
        <w:rPr>
          <w:rFonts w:ascii="Garamond" w:hAnsi="Garamond"/>
          <w:sz w:val="24"/>
          <w:szCs w:val="24"/>
        </w:rPr>
        <w:t xml:space="preserve">Updates werden vom Hersteller freigegeben und somit gleich für den Kunden über das Internet bereitgestellt. </w:t>
      </w:r>
      <w:r>
        <w:rPr>
          <w:rFonts w:ascii="Garamond" w:hAnsi="Garamond"/>
          <w:sz w:val="24"/>
          <w:szCs w:val="24"/>
        </w:rPr>
        <w:t xml:space="preserve">Sie verlaufen schnell und einfach. Der Kunde weiß bei Cloudsystemen nicht wie eine Aktualisierung funktioniert - bei Netsuit, Salesforce, By Design. </w:t>
      </w:r>
      <w:r w:rsidRPr="004F0D02">
        <w:rPr>
          <w:rFonts w:ascii="Garamond" w:hAnsi="Garamond"/>
          <w:sz w:val="24"/>
          <w:szCs w:val="24"/>
        </w:rPr>
        <w:t xml:space="preserve">Nutzer werden rechtzeitig vorgewarnt, dass und wann eine wichtige Aktualisierung stattfindet Jeder ERP-Anbieter verfolgt seine eigene Strategie, wenn es um Updates geht. Oracle beispielsweise bietet in jedem Quartal Updates an, die je nach Region an zwei Freitagen oder Donnerstagen stattfinden. Immer zur gleichen Zeit, damit ein Unternehmen vorausplanen kann. Diese Zeiten sind auch nicht festgeschrieben, wenn es ein Kunde für unmöglich hält diese Termine zu berücksichtigen. Generell versucht ein Anbieter </w:t>
      </w:r>
      <w:r>
        <w:rPr>
          <w:rFonts w:ascii="Garamond" w:hAnsi="Garamond"/>
          <w:sz w:val="24"/>
          <w:szCs w:val="24"/>
        </w:rPr>
        <w:t xml:space="preserve">immer </w:t>
      </w:r>
      <w:r w:rsidRPr="004F0D02">
        <w:rPr>
          <w:rFonts w:ascii="Garamond" w:hAnsi="Garamond"/>
          <w:sz w:val="24"/>
          <w:szCs w:val="24"/>
        </w:rPr>
        <w:t>eine „non-disruptive-</w:t>
      </w:r>
      <w:r w:rsidR="007130FB">
        <w:rPr>
          <w:rFonts w:ascii="Garamond" w:hAnsi="Garamond"/>
          <w:sz w:val="24"/>
          <w:szCs w:val="24"/>
        </w:rPr>
        <w:t>M</w:t>
      </w:r>
      <w:r w:rsidRPr="004F0D02">
        <w:rPr>
          <w:rFonts w:ascii="Garamond" w:hAnsi="Garamond"/>
          <w:sz w:val="24"/>
          <w:szCs w:val="24"/>
        </w:rPr>
        <w:t>ai</w:t>
      </w:r>
      <w:r w:rsidR="00CE0B9E">
        <w:rPr>
          <w:rFonts w:ascii="Garamond" w:hAnsi="Garamond"/>
          <w:sz w:val="24"/>
          <w:szCs w:val="24"/>
        </w:rPr>
        <w:t>n</w:t>
      </w:r>
      <w:r w:rsidRPr="004F0D02">
        <w:rPr>
          <w:rFonts w:ascii="Garamond" w:hAnsi="Garamond"/>
          <w:sz w:val="24"/>
          <w:szCs w:val="24"/>
        </w:rPr>
        <w:t>tenance“ Strategie</w:t>
      </w:r>
      <w:r>
        <w:rPr>
          <w:rFonts w:ascii="Garamond" w:hAnsi="Garamond"/>
          <w:sz w:val="24"/>
          <w:szCs w:val="24"/>
        </w:rPr>
        <w:t xml:space="preserve"> anzuwenden. Die Störung des Geschäftsalltags sollte nur in ausgesprochenen Notfällen passieren.</w:t>
      </w:r>
      <w:r w:rsidRPr="004F0D02">
        <w:rPr>
          <w:rFonts w:ascii="Garamond" w:hAnsi="Garamond"/>
          <w:sz w:val="24"/>
          <w:szCs w:val="24"/>
        </w:rPr>
        <w:t xml:space="preserve"> </w:t>
      </w:r>
      <w:r>
        <w:rPr>
          <w:rFonts w:ascii="Garamond" w:hAnsi="Garamond"/>
          <w:sz w:val="24"/>
          <w:szCs w:val="24"/>
        </w:rPr>
        <w:t xml:space="preserve">Denn diese bereitet dem Kunden Verluste, da er vor kurze Zeit einige Arbeiten nicht erledigen kann für die die Cloud-ERP ansonsten genutzt wird. </w:t>
      </w:r>
    </w:p>
    <w:p w14:paraId="5739AE73" w14:textId="77777777" w:rsidR="0095419E" w:rsidRDefault="0095419E" w:rsidP="0095419E">
      <w:pPr>
        <w:rPr>
          <w:rFonts w:ascii="Garamond" w:hAnsi="Garamond"/>
          <w:sz w:val="24"/>
          <w:szCs w:val="24"/>
        </w:rPr>
      </w:pPr>
      <w:r w:rsidRPr="004F0D02">
        <w:rPr>
          <w:rFonts w:ascii="Garamond" w:hAnsi="Garamond"/>
          <w:sz w:val="24"/>
          <w:szCs w:val="24"/>
        </w:rPr>
        <w:t>Obwohl ein Nutzer sich eigentlich immer über Updates freut, sind zu viele auch nicht gut. Vor allem wenn sie dann jedes Mal eine gewisse Neuorientierung mit sich bringen.</w:t>
      </w:r>
      <w:r>
        <w:rPr>
          <w:rFonts w:ascii="Garamond" w:hAnsi="Garamond"/>
          <w:sz w:val="24"/>
          <w:szCs w:val="24"/>
        </w:rPr>
        <w:t xml:space="preserve"> Die Mitarbeiter haben keine Zeit dazu, sich monatlich mit Workshops zu beschäftigen.</w:t>
      </w:r>
    </w:p>
    <w:p w14:paraId="5AE6664A" w14:textId="77777777" w:rsidR="0095419E" w:rsidRPr="004F0D02" w:rsidRDefault="0095419E" w:rsidP="0095419E">
      <w:pPr>
        <w:rPr>
          <w:rFonts w:ascii="Garamond" w:hAnsi="Garamond"/>
          <w:sz w:val="24"/>
          <w:szCs w:val="24"/>
        </w:rPr>
      </w:pPr>
      <w:r>
        <w:rPr>
          <w:rFonts w:ascii="Garamond" w:hAnsi="Garamond"/>
          <w:sz w:val="24"/>
          <w:szCs w:val="24"/>
        </w:rPr>
        <w:t>Daraus folgernd lässt sich sagen, dass mehr und schneller Updates bei Cloud-Lösungen möglich sind. Da der Hersteller sich vollkommen auf das Programm konzentrieren kann und er keinen großen Aufwand bei der Aktualisierung hat.</w:t>
      </w:r>
    </w:p>
    <w:p w14:paraId="2C33440C" w14:textId="5919ADDF" w:rsidR="00D079EB" w:rsidRDefault="00D079EB" w:rsidP="00B44D8D">
      <w:pPr>
        <w:rPr>
          <w:rFonts w:ascii="Garamond" w:hAnsi="Garamond"/>
          <w:sz w:val="24"/>
          <w:szCs w:val="24"/>
        </w:rPr>
      </w:pPr>
    </w:p>
    <w:p w14:paraId="49301C0D" w14:textId="55B108F8" w:rsidR="0095419E" w:rsidRDefault="0095419E" w:rsidP="00B44D8D">
      <w:pPr>
        <w:rPr>
          <w:rFonts w:ascii="Garamond" w:hAnsi="Garamond"/>
          <w:sz w:val="24"/>
          <w:szCs w:val="24"/>
        </w:rPr>
      </w:pPr>
    </w:p>
    <w:p w14:paraId="03B201AA" w14:textId="5EF69BFD" w:rsidR="0095419E" w:rsidRDefault="0095419E" w:rsidP="00B44D8D">
      <w:pPr>
        <w:rPr>
          <w:rFonts w:ascii="Garamond" w:hAnsi="Garamond"/>
          <w:sz w:val="24"/>
          <w:szCs w:val="24"/>
        </w:rPr>
      </w:pPr>
    </w:p>
    <w:p w14:paraId="35CB32D2" w14:textId="4F696A12" w:rsidR="0095419E" w:rsidRDefault="0095419E" w:rsidP="00B44D8D">
      <w:pPr>
        <w:rPr>
          <w:rFonts w:ascii="Garamond" w:hAnsi="Garamond"/>
          <w:sz w:val="24"/>
          <w:szCs w:val="24"/>
        </w:rPr>
      </w:pPr>
    </w:p>
    <w:p w14:paraId="1A170ED5" w14:textId="01A0B023" w:rsidR="0095419E" w:rsidRDefault="0095419E" w:rsidP="00B44D8D">
      <w:pPr>
        <w:rPr>
          <w:rFonts w:ascii="Garamond" w:hAnsi="Garamond"/>
          <w:sz w:val="24"/>
          <w:szCs w:val="24"/>
        </w:rPr>
      </w:pPr>
    </w:p>
    <w:p w14:paraId="0C91EF62" w14:textId="55992CB6" w:rsidR="0095419E" w:rsidRDefault="0095419E" w:rsidP="00B44D8D">
      <w:pPr>
        <w:rPr>
          <w:rFonts w:ascii="Garamond" w:hAnsi="Garamond"/>
          <w:sz w:val="24"/>
          <w:szCs w:val="24"/>
        </w:rPr>
      </w:pPr>
    </w:p>
    <w:p w14:paraId="70552A9A" w14:textId="77777777" w:rsidR="0095419E" w:rsidRDefault="0095419E"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6" w:name="_Toc23954515"/>
      <w:r w:rsidRPr="00B44D8D">
        <w:rPr>
          <w:rFonts w:ascii="Garamond" w:hAnsi="Garamond"/>
        </w:rPr>
        <w:lastRenderedPageBreak/>
        <w:t>Lizenzvertrag vs. Service Level Agreement</w:t>
      </w:r>
      <w:bookmarkEnd w:id="6"/>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on-premise ERP-System erwirbt man eine Lizenz. Dies ermöglicht einen „limited, but perpetual right to use the software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Pr>
              <w:rFonts w:ascii="Garamond" w:hAnsi="Garamond"/>
              <w:noProof/>
            </w:rPr>
            <w:t xml:space="preserve"> </w:t>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r w:rsidRPr="00937B7E">
        <w:rPr>
          <w:rFonts w:ascii="Garamond" w:hAnsi="Garamond" w:cs="Times New Roman"/>
        </w:rPr>
        <w:t xml:space="preserve">transfer of rights“.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End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703252">
            <w:rPr>
              <w:rFonts w:ascii="Garamond" w:hAnsi="Garamond"/>
              <w:bCs/>
              <w:noProof/>
              <w:shd w:val="clear" w:color="auto" w:fill="FFFFFF"/>
            </w:rPr>
            <w:t xml:space="preserve"> </w:t>
          </w:r>
          <w:r w:rsidR="00703252" w:rsidRPr="00703252">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7" w:name="_Toc23954516"/>
      <w:r w:rsidRPr="00937B7E">
        <w:rPr>
          <w:rFonts w:ascii="Garamond" w:hAnsi="Garamond"/>
        </w:rPr>
        <w:t>Strategien klassischer Softwareanbieter für den Wechsel zur Cloud</w:t>
      </w:r>
      <w:bookmarkEnd w:id="7"/>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lastRenderedPageBreak/>
        <w:t>Microsoft ist ein, mit über 1.000.000 Sever, sogenannter Hyperscale-Provider. Der Konzern hat sein Angebot durch einige Cloud-Lösungen erweitert. Das Unternehmen bietet noch immer On-Premise-Versionen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6C01758D" w:rsidR="00B44D8D" w:rsidRDefault="00B44D8D" w:rsidP="00B44D8D"/>
    <w:p w14:paraId="6C1E4773" w14:textId="0F0799F6" w:rsidR="00EF5BC5" w:rsidRDefault="00EF5BC5" w:rsidP="00B44D8D">
      <w:r>
        <w:rPr>
          <w:noProof/>
          <w:lang w:eastAsia="de-DE"/>
        </w:rPr>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04E92184" w:rsidR="00B92857" w:rsidRPr="00AD3A8C" w:rsidRDefault="00B92857" w:rsidP="00EF5BC5">
                            <w:pPr>
                              <w:pStyle w:val="Beschriftung"/>
                              <w:rPr>
                                <w:noProof/>
                                <w:sz w:val="24"/>
                                <w:szCs w:val="24"/>
                              </w:rPr>
                            </w:pPr>
                            <w:bookmarkStart w:id="8" w:name="_Toc23954602"/>
                            <w:r>
                              <w:t xml:space="preserve">Abbildung </w:t>
                            </w:r>
                            <w:r w:rsidR="000E2679">
                              <w:rPr>
                                <w:noProof/>
                              </w:rPr>
                              <w:fldChar w:fldCharType="begin"/>
                            </w:r>
                            <w:r w:rsidR="000E2679">
                              <w:rPr>
                                <w:noProof/>
                              </w:rPr>
                              <w:instrText xml:space="preserve"> SEQ Abbildung \* ARABIC </w:instrText>
                            </w:r>
                            <w:r w:rsidR="000E2679">
                              <w:rPr>
                                <w:noProof/>
                              </w:rPr>
                              <w:fldChar w:fldCharType="separate"/>
                            </w:r>
                            <w:r w:rsidR="00F44D7D">
                              <w:rPr>
                                <w:noProof/>
                              </w:rPr>
                              <w:t>3</w:t>
                            </w:r>
                            <w:r w:rsidR="000E2679">
                              <w:rPr>
                                <w:noProof/>
                              </w:rPr>
                              <w:fldChar w:fldCharType="end"/>
                            </w:r>
                            <w:r>
                              <w:t>: 2011 Serververteilung von Softwareanbietern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04E92184" w:rsidR="00B92857" w:rsidRPr="00AD3A8C" w:rsidRDefault="00B92857" w:rsidP="00EF5BC5">
                      <w:pPr>
                        <w:pStyle w:val="Beschriftung"/>
                        <w:rPr>
                          <w:noProof/>
                          <w:sz w:val="24"/>
                          <w:szCs w:val="24"/>
                        </w:rPr>
                      </w:pPr>
                      <w:bookmarkStart w:id="9" w:name="_Toc23954602"/>
                      <w:r>
                        <w:t xml:space="preserve">Abbildung </w:t>
                      </w:r>
                      <w:fldSimple w:instr=" SEQ Abbildung \* ARABIC ">
                        <w:r w:rsidR="00F44D7D">
                          <w:rPr>
                            <w:noProof/>
                          </w:rPr>
                          <w:t>3</w:t>
                        </w:r>
                      </w:fldSimple>
                      <w:r>
                        <w:t>: 2011 Serververteilung von Softwareanbietern</w:t>
                      </w:r>
                      <w:bookmarkEnd w:id="9"/>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9" w:name="_Toc23954517"/>
      <w:r w:rsidRPr="00937B7E">
        <w:rPr>
          <w:rFonts w:ascii="Garamond" w:hAnsi="Garamond"/>
        </w:rPr>
        <w:t>Legale Randbedingungen</w:t>
      </w:r>
      <w:bookmarkEnd w:id="9"/>
    </w:p>
    <w:p w14:paraId="58DBCEEE" w14:textId="160262E8" w:rsidR="00F96815" w:rsidRPr="00F96815" w:rsidRDefault="00F96815" w:rsidP="00F96815"/>
    <w:p w14:paraId="039E68FD" w14:textId="4AB0B45E" w:rsidR="00B44D8D" w:rsidRDefault="00B44D8D" w:rsidP="00B44D8D">
      <w:pPr>
        <w:rPr>
          <w:rFonts w:ascii="Garamond" w:hAnsi="Garamond"/>
          <w:sz w:val="24"/>
          <w:szCs w:val="24"/>
        </w:rPr>
      </w:pPr>
      <w:r w:rsidRPr="00937B7E">
        <w:rPr>
          <w:rFonts w:ascii="Garamond" w:hAnsi="Garamond"/>
          <w:sz w:val="24"/>
          <w:szCs w:val="24"/>
        </w:rPr>
        <w:t>Im Falle, dass das Unternehmen ein on-premise ERP erwirbt behält es die komplette Kontrolle über die wichtigsten Daten im Unternehmen. Diese Kontrolle zu haben ist wichtig, denn ERP ist „ a company’s central nervous system“</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„control, process, store, and deliver end-user companies’ mission-critical data“</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xml:space="preserve">. Dies kann zu Problemen führen, zum Beispiel was geschieht bei einem Rechtsstreit zwischen Betreiber und Kunde? Wann ist der Betreiber </w:t>
      </w:r>
      <w:r w:rsidRPr="00937B7E">
        <w:rPr>
          <w:rFonts w:ascii="Garamond" w:hAnsi="Garamond"/>
          <w:sz w:val="24"/>
          <w:szCs w:val="24"/>
        </w:rPr>
        <w:lastRenderedPageBreak/>
        <w:t>verpflichtet die Daten herauszugeben und wann ist er es nicht? Was geschieht mit den Daten, bei einer Insolvenz des Betreibers oder bei einer Übernahme durch einen Dritten?</w:t>
      </w:r>
    </w:p>
    <w:p w14:paraId="2574FA49" w14:textId="77777777" w:rsidR="00A41E2F" w:rsidRDefault="00A41E2F" w:rsidP="00B44D8D">
      <w:pPr>
        <w:rPr>
          <w:rFonts w:ascii="Garamond" w:hAnsi="Garamond"/>
          <w:sz w:val="24"/>
          <w:szCs w:val="24"/>
        </w:rPr>
      </w:pPr>
    </w:p>
    <w:p w14:paraId="13B28B21" w14:textId="7BA14A8B" w:rsidR="00A41E2F" w:rsidRPr="00B44D8D" w:rsidRDefault="00A41E2F" w:rsidP="00B44D8D">
      <w:r>
        <w:rPr>
          <w:rFonts w:ascii="Garamond" w:hAnsi="Garamond"/>
          <w:sz w:val="24"/>
          <w:szCs w:val="24"/>
        </w:rPr>
        <w:t>Auch das Speichern der Daten bei einem amerikanischen Cloud Anbieter birgt Gefahren. In den USA gilt seit März 2018 der „Cloud Act“. Die US-Behörden dürfen demnach von Cloud-Providern die Herausgabe von allen Daten zu einer Person oder Unternehmen verlangen. Die jeweils betroffene Person/Unternehmen  ist dem gegenüber komplett machtlos. Sie kann nicht mal einen Widerspruch einlegen, dass können nur die US-Provider selbst tun. Dazu bedarf es zwei Voraussetzungen: Erstens die Person ist kein US-Bürger und zweitens die Herausgabe würde gegen geltendes Recht verstoßen in dem Land, in dem sich die Daten befinden. Ein Gericht muss danach entscheiden, ob das Interesse der US-Behörde oder das des Providers mehr wiegt. Man kann erkennen, dass sich der „Cloud Act“ auch auf die Server von US-Unternehmen im Ausland bezieht und diesen als Wirkungsraum mit einschließt. Über eine Herausgabe der Daten muss die Person weder von der Behörde noch von dem Provider informiert werden. Außerdem darf der US-Präsident mit anderen Staaten Abkommen bezüglich des erweiterten Datenabflusses abschließen. Die anderen Staaten dürften demnach auch die Daten der US-Cloud-Provider bekommen- ohne Gerichtsbeschluss.</w:t>
      </w:r>
      <w:r w:rsidR="0074353E">
        <w:rPr>
          <w:rFonts w:ascii="Garamond" w:hAnsi="Garamond"/>
          <w:sz w:val="24"/>
          <w:szCs w:val="24"/>
        </w:rPr>
        <w:t xml:space="preserve"> Dies ist bei einer ERP in der Cloud besonders</w:t>
      </w:r>
      <w:bookmarkStart w:id="10" w:name="_GoBack"/>
      <w:bookmarkEnd w:id="10"/>
      <w:r w:rsidR="0074353E">
        <w:rPr>
          <w:rFonts w:ascii="Garamond" w:hAnsi="Garamond"/>
          <w:sz w:val="24"/>
          <w:szCs w:val="24"/>
        </w:rPr>
        <w:t xml:space="preserve"> schlimm, da es sich hier um die sensibelsten Daten im Unternehmen handelt.</w:t>
      </w:r>
    </w:p>
    <w:p w14:paraId="6F2E744B" w14:textId="4F774DA2" w:rsidR="00B44D8D" w:rsidRDefault="00B44D8D" w:rsidP="00B44D8D">
      <w:pPr>
        <w:pStyle w:val="berschrift1"/>
        <w:numPr>
          <w:ilvl w:val="0"/>
          <w:numId w:val="3"/>
        </w:numPr>
        <w:rPr>
          <w:rFonts w:ascii="Garamond" w:hAnsi="Garamond"/>
        </w:rPr>
      </w:pPr>
      <w:bookmarkStart w:id="11" w:name="_Toc23954518"/>
      <w:r w:rsidRPr="00937B7E">
        <w:rPr>
          <w:rFonts w:ascii="Garamond" w:hAnsi="Garamond"/>
        </w:rPr>
        <w:t>Anpassung an Benutzeranforderungen</w:t>
      </w:r>
      <w:bookmarkEnd w:id="11"/>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SAP Business By</w:t>
      </w:r>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0C04FFB1" w:rsidR="00E70156" w:rsidRDefault="00E70156" w:rsidP="00B44D8D"/>
    <w:p w14:paraId="36D1F2A8" w14:textId="2F56EA34" w:rsidR="0095419E" w:rsidRDefault="0095419E" w:rsidP="00B44D8D"/>
    <w:p w14:paraId="34639832" w14:textId="66ADCDFD" w:rsidR="0095419E" w:rsidRDefault="0095419E" w:rsidP="00B44D8D"/>
    <w:p w14:paraId="34C454A7" w14:textId="5BD05C08" w:rsidR="0095419E" w:rsidRDefault="0095419E" w:rsidP="00B44D8D"/>
    <w:p w14:paraId="63678628" w14:textId="6550E3A0" w:rsidR="0095419E" w:rsidRDefault="0095419E" w:rsidP="00B44D8D"/>
    <w:p w14:paraId="6B3952AE" w14:textId="6228CF2E" w:rsidR="0095419E" w:rsidRDefault="0095419E" w:rsidP="00B44D8D"/>
    <w:p w14:paraId="52A0F43F" w14:textId="59FA62A7" w:rsidR="0095419E" w:rsidRDefault="0095419E" w:rsidP="00B44D8D"/>
    <w:p w14:paraId="75A78718" w14:textId="356891F2" w:rsidR="0095419E" w:rsidRDefault="0095419E" w:rsidP="00B44D8D"/>
    <w:p w14:paraId="07B3CA9B" w14:textId="159158F8" w:rsidR="0095419E" w:rsidRDefault="0095419E" w:rsidP="00B44D8D"/>
    <w:p w14:paraId="040ECE88" w14:textId="2AA20465" w:rsidR="0095419E" w:rsidRDefault="0095419E" w:rsidP="00B44D8D"/>
    <w:p w14:paraId="248F5436" w14:textId="5E4E419C" w:rsidR="0095419E" w:rsidRDefault="0095419E" w:rsidP="00B44D8D"/>
    <w:p w14:paraId="7B37E43F" w14:textId="54490BA1" w:rsidR="0095419E" w:rsidRDefault="0095419E" w:rsidP="00B44D8D"/>
    <w:p w14:paraId="114FFA61" w14:textId="45EF1D14" w:rsidR="0095419E" w:rsidRDefault="0095419E" w:rsidP="00B44D8D"/>
    <w:p w14:paraId="013B6F72" w14:textId="2C4C0DAF" w:rsidR="0095419E" w:rsidRDefault="0095419E" w:rsidP="00B44D8D"/>
    <w:p w14:paraId="7CB5CFA2" w14:textId="4E9F6242" w:rsidR="0095419E" w:rsidRDefault="0095419E" w:rsidP="00B44D8D"/>
    <w:p w14:paraId="53896DFE" w14:textId="77777777" w:rsidR="0095419E" w:rsidRPr="00B44D8D" w:rsidRDefault="0095419E" w:rsidP="00B44D8D"/>
    <w:p w14:paraId="2EB58EEC" w14:textId="77777777" w:rsidR="00B44D8D" w:rsidRDefault="00B44D8D" w:rsidP="00B44D8D">
      <w:pPr>
        <w:pStyle w:val="berschrift1"/>
        <w:numPr>
          <w:ilvl w:val="0"/>
          <w:numId w:val="3"/>
        </w:numPr>
        <w:rPr>
          <w:rStyle w:val="berschrift1Zchn"/>
          <w:rFonts w:ascii="Garamond" w:hAnsi="Garamond"/>
        </w:rPr>
      </w:pPr>
      <w:bookmarkStart w:id="12" w:name="_Toc23954519"/>
      <w:r w:rsidRPr="00937B7E">
        <w:rPr>
          <w:rStyle w:val="berschrift1Zchn"/>
          <w:rFonts w:ascii="Garamond" w:hAnsi="Garamond"/>
        </w:rPr>
        <w:t>Geschäftsmodellaspekte für den Anbieter (Cash Flow, verbriefter Umsatz)</w:t>
      </w:r>
      <w:bookmarkEnd w:id="12"/>
    </w:p>
    <w:p w14:paraId="0638C6C2" w14:textId="77777777" w:rsidR="00F96815" w:rsidRPr="00F96815" w:rsidRDefault="00F96815" w:rsidP="00F96815"/>
    <w:p w14:paraId="46CE6571" w14:textId="77777777" w:rsidR="0095419E" w:rsidRPr="008B209D" w:rsidRDefault="0095419E" w:rsidP="0095419E">
      <w:pPr>
        <w:rPr>
          <w:rFonts w:ascii="Garamond" w:hAnsi="Garamond"/>
          <w:sz w:val="24"/>
          <w:szCs w:val="24"/>
        </w:rPr>
      </w:pPr>
      <w:r w:rsidRPr="008B209D">
        <w:rPr>
          <w:rFonts w:ascii="Garamond" w:hAnsi="Garamond"/>
          <w:sz w:val="24"/>
          <w:szCs w:val="24"/>
        </w:rPr>
        <w:t>Bei ERP on-premise wird einmal zu Beginn für die Lizenz bezahlt und dann fast ein Leben lang genutzt. Bei on-premise wird also viel Geld am Anfang bezahlt, für den Hersteller fallen zu Beginn aber kaum Aufwände in der Wartung an. Dies ist bei ERP on SaaS/Cloud nicht der Fall: Dort zahlt man nicht einmal für die Lizenz, sondern wiederkehrend für ein Abonnement, dass die Nutzung erlaubt (Gross, 2012). Auch im Bereich der Wartung gibt es Unterschiede. So ist es bei on-premise der Fall, dass „Maintenance and support are paid via recurring annual fees typically calculated as a percentage of license prices“ (Gross, 2012). Bei der Cloud Lösung ist standardmäßig die Wartung und der Support beim Abonnement mit enthalten.</w:t>
      </w:r>
    </w:p>
    <w:p w14:paraId="77168D25" w14:textId="77777777" w:rsidR="0095419E" w:rsidRDefault="0095419E" w:rsidP="0095419E">
      <w:pPr>
        <w:rPr>
          <w:rFonts w:ascii="Garamond" w:hAnsi="Garamond"/>
          <w:sz w:val="24"/>
          <w:szCs w:val="24"/>
        </w:rPr>
      </w:pPr>
      <w:r>
        <w:rPr>
          <w:rFonts w:ascii="Garamond" w:hAnsi="Garamond"/>
          <w:sz w:val="24"/>
          <w:szCs w:val="24"/>
        </w:rPr>
        <w:t>Der verbriefte Umsatz bei Cloud Anbietern ist der vertraglich abgesicherte Umsatz, der durch die Verträge entsteht. Wie oben vermerkt wird ein Abonnement mit dem Kunden abgeschlossen, dieses hat je nach Dauer und Zusammenstellung unterschiedliche Preise. Es ist also Umsatz mit dem der Anbieter rechnet, der jedoch erst in der Bilanz verbucht werden muss, wenn eine Rechnung dafür verfasst worden ist. Die Dauer eines Jahresabonnements beträgt meisten 2- 5 Jahren. Von diesem Umsatz weiß der Anbieter – wie beim Wartungsvertrag bei on-premise. Es ist so zusagen eine Art von stiller Reserve, welche er sofort in seiner Planung einkalkulieren kann. Somit kann er seine Gewinnsteuer eventuell minimieren.</w:t>
      </w:r>
    </w:p>
    <w:p w14:paraId="3731B044" w14:textId="77777777" w:rsidR="0095419E" w:rsidRPr="008B209D" w:rsidRDefault="0095419E" w:rsidP="0095419E">
      <w:pPr>
        <w:rPr>
          <w:rFonts w:ascii="Garamond" w:hAnsi="Garamond"/>
          <w:sz w:val="24"/>
          <w:szCs w:val="24"/>
        </w:rPr>
      </w:pPr>
      <w:r>
        <w:rPr>
          <w:rFonts w:ascii="Garamond" w:hAnsi="Garamond"/>
          <w:sz w:val="24"/>
          <w:szCs w:val="24"/>
        </w:rPr>
        <w:t>Der Cloudanbieter leistet jedoch viel mehr als der on-premise. Er versucht den ganzen Betrieb möglichst ausfallssicher, katastrophengeschützt mit automatischer Kapazitätsanpassung zu verwalten. Deswegen kann er auch höhere Preise verlangen als der Anbieter der auf Capex-basierten-Technologie.</w:t>
      </w:r>
    </w:p>
    <w:p w14:paraId="3F8E8ABF" w14:textId="41F6F6B4" w:rsidR="00D079EB" w:rsidRDefault="00D079EB" w:rsidP="00B44D8D">
      <w:pPr>
        <w:pStyle w:val="Listenabsatz"/>
        <w:ind w:left="360"/>
      </w:pPr>
    </w:p>
    <w:p w14:paraId="3A631C8D" w14:textId="41EDD1CA" w:rsidR="0095419E" w:rsidRDefault="0095419E" w:rsidP="00B44D8D">
      <w:pPr>
        <w:pStyle w:val="Listenabsatz"/>
        <w:ind w:left="360"/>
      </w:pPr>
    </w:p>
    <w:p w14:paraId="5B960B06" w14:textId="63DDFD78" w:rsidR="0095419E" w:rsidRDefault="0095419E" w:rsidP="00B44D8D">
      <w:pPr>
        <w:pStyle w:val="Listenabsatz"/>
        <w:ind w:left="360"/>
      </w:pPr>
    </w:p>
    <w:p w14:paraId="5651C254" w14:textId="3789F650" w:rsidR="0095419E" w:rsidRDefault="0095419E" w:rsidP="00B44D8D">
      <w:pPr>
        <w:pStyle w:val="Listenabsatz"/>
        <w:ind w:left="360"/>
      </w:pPr>
    </w:p>
    <w:p w14:paraId="42BB2F82" w14:textId="66182D83" w:rsidR="0095419E" w:rsidRDefault="0095419E" w:rsidP="00B44D8D">
      <w:pPr>
        <w:pStyle w:val="Listenabsatz"/>
        <w:ind w:left="360"/>
      </w:pPr>
    </w:p>
    <w:p w14:paraId="4896DDB8" w14:textId="6EB62AE4" w:rsidR="0095419E" w:rsidRDefault="0095419E" w:rsidP="00B44D8D">
      <w:pPr>
        <w:pStyle w:val="Listenabsatz"/>
        <w:ind w:left="360"/>
      </w:pPr>
    </w:p>
    <w:p w14:paraId="5D985042" w14:textId="78BBB8C8" w:rsidR="0095419E" w:rsidRDefault="0095419E" w:rsidP="00B44D8D">
      <w:pPr>
        <w:pStyle w:val="Listenabsatz"/>
        <w:ind w:left="360"/>
      </w:pPr>
    </w:p>
    <w:p w14:paraId="54ACCCD0" w14:textId="323AAED7" w:rsidR="0095419E" w:rsidRDefault="0095419E" w:rsidP="00B44D8D">
      <w:pPr>
        <w:pStyle w:val="Listenabsatz"/>
        <w:ind w:left="360"/>
      </w:pPr>
    </w:p>
    <w:p w14:paraId="10523896" w14:textId="705779C2" w:rsidR="0095419E" w:rsidRDefault="0095419E" w:rsidP="00B44D8D">
      <w:pPr>
        <w:pStyle w:val="Listenabsatz"/>
        <w:ind w:left="360"/>
      </w:pPr>
    </w:p>
    <w:p w14:paraId="66E6F2B2" w14:textId="25E9031E" w:rsidR="0095419E" w:rsidRDefault="0095419E" w:rsidP="00B44D8D">
      <w:pPr>
        <w:pStyle w:val="Listenabsatz"/>
        <w:ind w:left="360"/>
      </w:pPr>
    </w:p>
    <w:p w14:paraId="772956A2" w14:textId="2D34FE3D" w:rsidR="0095419E" w:rsidRDefault="0095419E" w:rsidP="00B44D8D">
      <w:pPr>
        <w:pStyle w:val="Listenabsatz"/>
        <w:ind w:left="360"/>
      </w:pPr>
    </w:p>
    <w:p w14:paraId="650A2846" w14:textId="1C34A494" w:rsidR="0095419E" w:rsidRDefault="0095419E" w:rsidP="00B44D8D">
      <w:pPr>
        <w:pStyle w:val="Listenabsatz"/>
        <w:ind w:left="360"/>
      </w:pPr>
    </w:p>
    <w:p w14:paraId="2A9A8C2C" w14:textId="521BD3DB" w:rsidR="0095419E" w:rsidRDefault="0095419E" w:rsidP="00B44D8D">
      <w:pPr>
        <w:pStyle w:val="Listenabsatz"/>
        <w:ind w:left="360"/>
      </w:pPr>
    </w:p>
    <w:p w14:paraId="109B673B" w14:textId="48869FF6" w:rsidR="0095419E" w:rsidRDefault="0095419E" w:rsidP="00B44D8D">
      <w:pPr>
        <w:pStyle w:val="Listenabsatz"/>
        <w:ind w:left="360"/>
      </w:pPr>
    </w:p>
    <w:p w14:paraId="6FB37E8D" w14:textId="31213266" w:rsidR="0095419E" w:rsidRDefault="0095419E" w:rsidP="00B44D8D">
      <w:pPr>
        <w:pStyle w:val="Listenabsatz"/>
        <w:ind w:left="360"/>
      </w:pPr>
    </w:p>
    <w:p w14:paraId="6197325E" w14:textId="7F6CBC4B" w:rsidR="0095419E" w:rsidRDefault="0095419E" w:rsidP="00B44D8D">
      <w:pPr>
        <w:pStyle w:val="Listenabsatz"/>
        <w:ind w:left="360"/>
      </w:pPr>
    </w:p>
    <w:p w14:paraId="09807388" w14:textId="42B0C582" w:rsidR="0095419E" w:rsidRDefault="0095419E" w:rsidP="00B44D8D">
      <w:pPr>
        <w:pStyle w:val="Listenabsatz"/>
        <w:ind w:left="360"/>
      </w:pPr>
    </w:p>
    <w:p w14:paraId="1295D309" w14:textId="75236E6D" w:rsidR="0095419E" w:rsidRDefault="0095419E" w:rsidP="00B44D8D">
      <w:pPr>
        <w:pStyle w:val="Listenabsatz"/>
        <w:ind w:left="360"/>
      </w:pPr>
    </w:p>
    <w:p w14:paraId="6B5049D9" w14:textId="58770318" w:rsidR="0095419E" w:rsidRDefault="0095419E" w:rsidP="00B44D8D">
      <w:pPr>
        <w:pStyle w:val="Listenabsatz"/>
        <w:ind w:left="360"/>
      </w:pPr>
    </w:p>
    <w:p w14:paraId="185BC4F8" w14:textId="77777777" w:rsidR="0095419E" w:rsidRPr="00B44D8D" w:rsidRDefault="0095419E"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3" w:name="_Toc23954520"/>
      <w:r w:rsidRPr="00937B7E">
        <w:rPr>
          <w:rFonts w:ascii="Garamond" w:hAnsi="Garamond"/>
        </w:rPr>
        <w:t>Cloud und IT-Abteilung</w:t>
      </w:r>
      <w:bookmarkEnd w:id="13"/>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Bei On-Premise-Lösungen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 xml:space="preserve">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„Unless an enduser company has the capabilities and resources to run a secured data center, it probably can’t provide the same level of protection as a SaaS provider“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703252" w:rsidRPr="00703252">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„Certain SaaS ERP vendors house their ERP software in data-centers built with vault-like constructions that can withstand bomb attacks. Many also employ around-the-clock cyber security experts who are responsible for virtual security,“ (Gross,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Im Gegensatz dazu „many companies house their ERP servers in unlocked storage rooms or closets, and seldom turn their minds to virtual security issues“ (Gross 2012, S.8.). Diese Verbesserung des 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lastRenderedPageBreak/>
        <w:t>Auch übernimmt der Anbieter der Cloud-Lösung – Hersteller oder Dritte, die dieses Produkt im Auftrag dessen verkaufen - den Support für die Nutzung der Software.</w:t>
      </w:r>
    </w:p>
    <w:p w14:paraId="64BD9B89" w14:textId="218EC8E4" w:rsidR="0015248C" w:rsidRDefault="0015248C" w:rsidP="00F96815">
      <w:pPr>
        <w:rPr>
          <w:rFonts w:ascii="Garamond" w:hAnsi="Garamond"/>
          <w:sz w:val="24"/>
          <w:szCs w:val="24"/>
        </w:rPr>
      </w:pPr>
    </w:p>
    <w:p w14:paraId="7DBD946D" w14:textId="6CF407A1" w:rsidR="0095419E" w:rsidRDefault="0095419E" w:rsidP="00F96815">
      <w:pPr>
        <w:rPr>
          <w:rFonts w:ascii="Garamond" w:hAnsi="Garamond"/>
          <w:sz w:val="24"/>
          <w:szCs w:val="24"/>
        </w:rPr>
      </w:pPr>
    </w:p>
    <w:p w14:paraId="68D58E9E" w14:textId="0DFBB947" w:rsidR="0095419E" w:rsidRDefault="0095419E" w:rsidP="00F96815">
      <w:pPr>
        <w:rPr>
          <w:rFonts w:ascii="Garamond" w:hAnsi="Garamond"/>
          <w:sz w:val="24"/>
          <w:szCs w:val="24"/>
        </w:rPr>
      </w:pPr>
    </w:p>
    <w:p w14:paraId="0CFF963D" w14:textId="4C458BEA" w:rsidR="0095419E" w:rsidRDefault="0095419E" w:rsidP="00F96815">
      <w:pPr>
        <w:rPr>
          <w:rFonts w:ascii="Garamond" w:hAnsi="Garamond"/>
          <w:sz w:val="24"/>
          <w:szCs w:val="24"/>
        </w:rPr>
      </w:pPr>
    </w:p>
    <w:p w14:paraId="23157A1C" w14:textId="5BE418F0" w:rsidR="0095419E" w:rsidRDefault="0095419E" w:rsidP="00F96815">
      <w:pPr>
        <w:rPr>
          <w:rFonts w:ascii="Garamond" w:hAnsi="Garamond"/>
          <w:sz w:val="24"/>
          <w:szCs w:val="24"/>
        </w:rPr>
      </w:pPr>
    </w:p>
    <w:p w14:paraId="589D9BD5" w14:textId="77777777" w:rsidR="0095419E" w:rsidRDefault="0095419E" w:rsidP="00F96815">
      <w:pPr>
        <w:rPr>
          <w:rFonts w:ascii="Garamond" w:hAnsi="Garamond"/>
          <w:sz w:val="24"/>
          <w:szCs w:val="24"/>
        </w:rPr>
      </w:pPr>
    </w:p>
    <w:p w14:paraId="04B07CD8" w14:textId="255AFB6D" w:rsidR="0015248C" w:rsidRPr="001332CE" w:rsidRDefault="001332CE" w:rsidP="00464B30">
      <w:pPr>
        <w:pStyle w:val="berschrift1"/>
        <w:numPr>
          <w:ilvl w:val="0"/>
          <w:numId w:val="3"/>
        </w:numPr>
        <w:rPr>
          <w:rFonts w:ascii="Garamond" w:hAnsi="Garamond"/>
        </w:rPr>
      </w:pPr>
      <w:bookmarkStart w:id="14" w:name="_Toc23954521"/>
      <w:r w:rsidRPr="001332CE">
        <w:rPr>
          <w:rFonts w:ascii="Garamond" w:hAnsi="Garamond"/>
        </w:rPr>
        <w:t>Kundenaspekte (Capex, Opex)</w:t>
      </w:r>
      <w:bookmarkEnd w:id="14"/>
    </w:p>
    <w:p w14:paraId="0705573E" w14:textId="77777777" w:rsidR="001332CE" w:rsidRPr="001332CE" w:rsidRDefault="001332CE" w:rsidP="001332CE">
      <w:pPr>
        <w:pStyle w:val="Listenabsatz"/>
        <w:ind w:left="0"/>
        <w:rPr>
          <w:rFonts w:ascii="Garamond" w:hAnsi="Garamond"/>
          <w:sz w:val="24"/>
          <w:szCs w:val="24"/>
        </w:rPr>
      </w:pPr>
    </w:p>
    <w:p w14:paraId="4A4B32B4" w14:textId="77777777" w:rsidR="0095419E" w:rsidRDefault="0095419E" w:rsidP="007130FB">
      <w:pPr>
        <w:jc w:val="both"/>
        <w:rPr>
          <w:rFonts w:ascii="Garamond" w:hAnsi="Garamond"/>
          <w:sz w:val="24"/>
          <w:szCs w:val="24"/>
        </w:rPr>
      </w:pPr>
      <w:r w:rsidRPr="00AA6B23">
        <w:rPr>
          <w:noProof/>
          <w:sz w:val="24"/>
          <w:szCs w:val="24"/>
          <w:lang w:eastAsia="de-DE"/>
        </w:rPr>
        <mc:AlternateContent>
          <mc:Choice Requires="wps">
            <w:drawing>
              <wp:anchor distT="0" distB="0" distL="114300" distR="114300" simplePos="0" relativeHeight="251667456" behindDoc="1" locked="0" layoutInCell="1" allowOverlap="1" wp14:anchorId="60A32A0F" wp14:editId="6E916A59">
                <wp:simplePos x="0" y="0"/>
                <wp:positionH relativeFrom="column">
                  <wp:posOffset>1605280</wp:posOffset>
                </wp:positionH>
                <wp:positionV relativeFrom="paragraph">
                  <wp:posOffset>2664460</wp:posOffset>
                </wp:positionV>
                <wp:extent cx="4147820" cy="581025"/>
                <wp:effectExtent l="0" t="0" r="5080" b="9525"/>
                <wp:wrapTight wrapText="bothSides">
                  <wp:wrapPolygon edited="0">
                    <wp:start x="0" y="0"/>
                    <wp:lineTo x="0" y="21246"/>
                    <wp:lineTo x="21527" y="21246"/>
                    <wp:lineTo x="2152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4147820" cy="581025"/>
                        </a:xfrm>
                        <a:prstGeom prst="rect">
                          <a:avLst/>
                        </a:prstGeom>
                        <a:solidFill>
                          <a:prstClr val="white"/>
                        </a:solidFill>
                        <a:ln>
                          <a:noFill/>
                        </a:ln>
                      </wps:spPr>
                      <wps:txbx>
                        <w:txbxContent>
                          <w:p w14:paraId="41F6B0E6" w14:textId="35D5401B" w:rsidR="0095419E" w:rsidRDefault="0095419E" w:rsidP="0095419E">
                            <w:pPr>
                              <w:pStyle w:val="Beschriftung"/>
                            </w:pPr>
                            <w:r>
                              <w:t xml:space="preserve">Abbildung </w:t>
                            </w:r>
                            <w:r w:rsidR="000E2679">
                              <w:rPr>
                                <w:noProof/>
                              </w:rPr>
                              <w:fldChar w:fldCharType="begin"/>
                            </w:r>
                            <w:r w:rsidR="000E2679">
                              <w:rPr>
                                <w:noProof/>
                              </w:rPr>
                              <w:instrText xml:space="preserve"> SEQ Abbildung \* ARABIC </w:instrText>
                            </w:r>
                            <w:r w:rsidR="000E2679">
                              <w:rPr>
                                <w:noProof/>
                              </w:rPr>
                              <w:fldChar w:fldCharType="separate"/>
                            </w:r>
                            <w:r w:rsidR="00F44D7D">
                              <w:rPr>
                                <w:noProof/>
                              </w:rPr>
                              <w:t>4</w:t>
                            </w:r>
                            <w:r w:rsidR="000E2679">
                              <w:rPr>
                                <w:noProof/>
                              </w:rPr>
                              <w:fldChar w:fldCharType="end"/>
                            </w:r>
                            <w:r>
                              <w:t>: Akzeptanz von Cloud-Diensten im Mittelstand</w:t>
                            </w:r>
                          </w:p>
                          <w:p w14:paraId="2FED3B8D" w14:textId="48549C19" w:rsidR="0095419E" w:rsidRPr="0095419E" w:rsidRDefault="000E2679" w:rsidP="0095419E">
                            <w:pPr>
                              <w:rPr>
                                <w:rStyle w:val="Hyperlink"/>
                                <w:color w:val="auto"/>
                                <w:sz w:val="18"/>
                                <w:szCs w:val="18"/>
                                <w:u w:val="none"/>
                              </w:rPr>
                            </w:pPr>
                            <w:hyperlink r:id="rId13" w:history="1">
                              <w:r w:rsidR="0095419E" w:rsidRPr="00AA6B23">
                                <w:rPr>
                                  <w:rStyle w:val="Hyperlink"/>
                                  <w:sz w:val="18"/>
                                  <w:szCs w:val="18"/>
                                </w:rPr>
                                <w:t>https://abas-erp.com/de/news/abas-anwenderstudie-2017-mehr-akzeptanz-von-cloud-angeboten-im-erp-bereich</w:t>
                              </w:r>
                            </w:hyperlink>
                            <w:r w:rsidR="0095419E">
                              <w:rPr>
                                <w:rStyle w:val="Hyperlink"/>
                                <w:sz w:val="18"/>
                                <w:szCs w:val="18"/>
                              </w:rPr>
                              <w:t xml:space="preserve"> </w:t>
                            </w:r>
                            <w:r w:rsidR="0095419E"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A32A0F" id="Textfeld 2" o:spid="_x0000_s1027" type="#_x0000_t202" style="position:absolute;left:0;text-align:left;margin-left:126.4pt;margin-top:209.8pt;width:326.6pt;height:45.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" stroked="f">
                <v:textbox inset="0,0,0,0">
                  <w:txbxContent>
                    <w:p w14:paraId="41F6B0E6" w14:textId="35D5401B" w:rsidR="0095419E" w:rsidRDefault="0095419E" w:rsidP="0095419E">
                      <w:pPr>
                        <w:pStyle w:val="Beschriftung"/>
                      </w:pPr>
                      <w:r>
                        <w:t xml:space="preserve">Abbildung </w:t>
                      </w:r>
                      <w:fldSimple w:instr=" SEQ Abbildung \* ARABIC ">
                        <w:r w:rsidR="00F44D7D">
                          <w:rPr>
                            <w:noProof/>
                          </w:rPr>
                          <w:t>4</w:t>
                        </w:r>
                      </w:fldSimple>
                      <w:r>
                        <w:t>: Akzeptanz von Cloud-Diensten im Mittelstand</w:t>
                      </w:r>
                    </w:p>
                    <w:p w14:paraId="2FED3B8D" w14:textId="48549C19" w:rsidR="0095419E" w:rsidRPr="0095419E" w:rsidRDefault="00DD2C06" w:rsidP="0095419E">
                      <w:pPr>
                        <w:rPr>
                          <w:rStyle w:val="Hyperlink"/>
                          <w:color w:val="auto"/>
                          <w:sz w:val="18"/>
                          <w:szCs w:val="18"/>
                          <w:u w:val="none"/>
                        </w:rPr>
                      </w:pPr>
                      <w:hyperlink r:id="rId14" w:history="1">
                        <w:r w:rsidR="0095419E" w:rsidRPr="00AA6B23">
                          <w:rPr>
                            <w:rStyle w:val="Hyperlink"/>
                            <w:sz w:val="18"/>
                            <w:szCs w:val="18"/>
                          </w:rPr>
                          <w:t>https://abas-erp.com/de/news/abas-anwenderstudie-2017-mehr-akzeptanz-von-cloud-angeboten-im-erp-bereich</w:t>
                        </w:r>
                      </w:hyperlink>
                      <w:r w:rsidR="0095419E">
                        <w:rPr>
                          <w:rStyle w:val="Hyperlink"/>
                          <w:sz w:val="18"/>
                          <w:szCs w:val="18"/>
                        </w:rPr>
                        <w:t xml:space="preserve"> </w:t>
                      </w:r>
                      <w:r w:rsidR="0095419E"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v:textbox>
                <w10:wrap type="tight"/>
              </v:shape>
            </w:pict>
          </mc:Fallback>
        </mc:AlternateContent>
      </w:r>
      <w:r w:rsidRPr="00AA6B23">
        <w:rPr>
          <w:noProof/>
          <w:sz w:val="24"/>
          <w:szCs w:val="24"/>
          <w:lang w:eastAsia="de-DE"/>
        </w:rPr>
        <w:drawing>
          <wp:anchor distT="0" distB="0" distL="114300" distR="114300" simplePos="0" relativeHeight="251666432" behindDoc="1" locked="0" layoutInCell="1" allowOverlap="1" wp14:anchorId="5BA9BD8F" wp14:editId="19DA0014">
            <wp:simplePos x="0" y="0"/>
            <wp:positionH relativeFrom="margin">
              <wp:align>right</wp:align>
            </wp:positionH>
            <wp:positionV relativeFrom="paragraph">
              <wp:posOffset>6985</wp:posOffset>
            </wp:positionV>
            <wp:extent cx="4147820" cy="2597785"/>
            <wp:effectExtent l="0" t="0" r="5080" b="0"/>
            <wp:wrapTight wrapText="bothSides">
              <wp:wrapPolygon edited="0">
                <wp:start x="0" y="0"/>
                <wp:lineTo x="0" y="21384"/>
                <wp:lineTo x="21527" y="21384"/>
                <wp:lineTo x="2152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7820" cy="2597785"/>
                    </a:xfrm>
                    <a:prstGeom prst="rect">
                      <a:avLst/>
                    </a:prstGeom>
                  </pic:spPr>
                </pic:pic>
              </a:graphicData>
            </a:graphic>
            <wp14:sizeRelH relativeFrom="page">
              <wp14:pctWidth>0</wp14:pctWidth>
            </wp14:sizeRelH>
            <wp14:sizeRelV relativeFrom="page">
              <wp14:pctHeight>0</wp14:pctHeight>
            </wp14:sizeRelV>
          </wp:anchor>
        </w:drawing>
      </w:r>
      <w:r w:rsidRPr="00AA6B23">
        <w:rPr>
          <w:rFonts w:ascii="Garamond" w:hAnsi="Garamond"/>
          <w:sz w:val="24"/>
          <w:szCs w:val="24"/>
        </w:rPr>
        <w:t>Im Laufe der Zeit sind Cloud-ERP-Lösungen immer attraktiver für Nutzer geworden. Wie an der Grafik gezeigt, ist auch die Akzeptanz gestiegen. Früher haben noch 64% eine Cloud vollkommen ausgeschlossen und heutzutage sind es nur noch 28%. Der Grund für die Steigerung des Interesses daran ist, dass immer mehr Unternehmen das Potential einer solchen Lösung realisiert haben und deswegen auch in solch eine Technologie investieren.</w:t>
      </w:r>
      <w:r>
        <w:rPr>
          <w:rFonts w:ascii="Garamond" w:hAnsi="Garamond"/>
          <w:sz w:val="24"/>
          <w:szCs w:val="24"/>
        </w:rPr>
        <w:t xml:space="preserve"> Unternehmen haben meistens ein IT-Budget für solche Anwendungen. Generell sind Cloud-ERP-Systeme relativ attraktiv für Nachfrager, da sie einen gewissen Vorteil bieten im Gegensatz zu On-Premise-Modellen. </w:t>
      </w:r>
    </w:p>
    <w:p w14:paraId="41E4FAC2" w14:textId="77777777" w:rsidR="0095419E" w:rsidRDefault="0095419E" w:rsidP="007130FB">
      <w:pPr>
        <w:jc w:val="both"/>
        <w:rPr>
          <w:rFonts w:ascii="Garamond" w:hAnsi="Garamond"/>
          <w:sz w:val="24"/>
          <w:szCs w:val="24"/>
        </w:rPr>
      </w:pPr>
      <w:r>
        <w:rPr>
          <w:rFonts w:ascii="Garamond" w:hAnsi="Garamond"/>
          <w:sz w:val="24"/>
          <w:szCs w:val="24"/>
        </w:rPr>
        <w:t xml:space="preserve">Die Nutzung dessen Technik und Dienste bietet dem Kunden eine enorme Arbeitserleichterung. Administrationstätigkeiten, die früher von einem extra benötigten IT-Mitarbeiter erledigt wurden, wird nun durch die Leistung vom Dienstleister ersetzt. Dadurch spart der Kunde Kosten, die er sonst unnötigerweise verursacht hätte, da nicht jedes Unternehmen eine IT-Abteilung benötigt. Floristen brauchen eventuell zwar eine Website und ein ERP-System, aber keine Informatikfacharbeiter. </w:t>
      </w:r>
    </w:p>
    <w:p w14:paraId="0874B660" w14:textId="7459F458" w:rsidR="0095419E" w:rsidRPr="00196445" w:rsidRDefault="0095419E" w:rsidP="007130FB">
      <w:pPr>
        <w:jc w:val="both"/>
        <w:rPr>
          <w:rFonts w:ascii="Garamond" w:hAnsi="Garamond"/>
          <w:sz w:val="24"/>
          <w:szCs w:val="24"/>
        </w:rPr>
      </w:pPr>
      <w:r w:rsidRPr="00196445">
        <w:rPr>
          <w:rFonts w:ascii="Garamond" w:hAnsi="Garamond"/>
          <w:sz w:val="24"/>
          <w:szCs w:val="24"/>
        </w:rPr>
        <w:t xml:space="preserve">Des Weiteren ist auch die Betrachtung des Budgets und der somit betriebenen Kostenverteilung notwendig. Generell unterscheidet ein Unternehmen zwischen Capex und Opex bei IT-Ausgaben. </w:t>
      </w:r>
      <w:r>
        <w:rPr>
          <w:rFonts w:ascii="Garamond" w:hAnsi="Garamond"/>
          <w:sz w:val="24"/>
          <w:szCs w:val="24"/>
        </w:rPr>
        <w:t>„</w:t>
      </w:r>
      <w:r w:rsidRPr="00196445">
        <w:rPr>
          <w:rFonts w:ascii="Garamond" w:hAnsi="Garamond"/>
          <w:sz w:val="24"/>
          <w:szCs w:val="24"/>
        </w:rPr>
        <w:t>Capex</w:t>
      </w:r>
      <w:r>
        <w:rPr>
          <w:rFonts w:ascii="Garamond" w:hAnsi="Garamond"/>
          <w:sz w:val="24"/>
          <w:szCs w:val="24"/>
        </w:rPr>
        <w:t xml:space="preserve"> [</w:t>
      </w:r>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 xml:space="preserve"> Capital Expenditur</w:t>
      </w:r>
      <w:r>
        <w:rPr>
          <w:rFonts w:ascii="Garamond" w:hAnsi="Garamond"/>
          <w:sz w:val="24"/>
          <w:szCs w:val="24"/>
        </w:rPr>
        <w:t>e</w:t>
      </w:r>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w:t>
      </w:r>
      <w:r>
        <w:rPr>
          <w:rFonts w:ascii="Garamond" w:hAnsi="Garamond"/>
          <w:sz w:val="24"/>
          <w:szCs w:val="24"/>
        </w:rPr>
        <w:t xml:space="preserve"> </w:t>
      </w:r>
      <w:r w:rsidRPr="00731D44">
        <w:rPr>
          <w:rFonts w:ascii="Garamond" w:hAnsi="Garamond"/>
          <w:sz w:val="24"/>
          <w:szCs w:val="24"/>
        </w:rPr>
        <w:t>bezeichnet</w:t>
      </w:r>
      <w:r w:rsidRPr="00731D44">
        <w:rPr>
          <w:rFonts w:ascii="Garamond" w:eastAsia="Times New Roman" w:hAnsi="Garamond" w:cs="Arial"/>
          <w:sz w:val="24"/>
          <w:szCs w:val="24"/>
          <w:lang w:eastAsia="de-DE"/>
        </w:rPr>
        <w:t xml:space="preserve"> Investitionen, die getätigt werden, um den Umsatz zu erhöhen und langfristig möglichst höhere Gewinne zu erzielen. Solche Ausgaben fallen in der IT etwa dann an, wenn neue Hardware, wie Rechner, Drucker, On-Premise-Software oder ganze </w:t>
      </w:r>
      <w:r w:rsidRPr="00731D44">
        <w:rPr>
          <w:rFonts w:ascii="Garamond" w:eastAsia="Times New Roman" w:hAnsi="Garamond" w:cs="Arial"/>
          <w:sz w:val="24"/>
          <w:szCs w:val="24"/>
          <w:lang w:eastAsia="de-DE"/>
        </w:rPr>
        <w:lastRenderedPageBreak/>
        <w:t>Server erworben werden.</w:t>
      </w:r>
      <w:r w:rsidRPr="00731D44">
        <w:rPr>
          <w:rFonts w:ascii="Garamond" w:hAnsi="Garamond"/>
          <w:sz w:val="24"/>
          <w:szCs w:val="24"/>
        </w:rPr>
        <w:t xml:space="preserve"> </w:t>
      </w:r>
      <w:r w:rsidRPr="00196445">
        <w:rPr>
          <w:rFonts w:ascii="Garamond" w:eastAsia="Times New Roman" w:hAnsi="Garamond" w:cs="Arial"/>
          <w:sz w:val="24"/>
          <w:szCs w:val="24"/>
          <w:lang w:eastAsia="de-DE"/>
        </w:rPr>
        <w:t>Opex</w:t>
      </w:r>
      <w:r>
        <w:rPr>
          <w:rFonts w:ascii="Garamond" w:eastAsia="Times New Roman" w:hAnsi="Garamond" w:cs="Arial"/>
          <w:sz w:val="24"/>
          <w:szCs w:val="24"/>
          <w:lang w:eastAsia="de-DE"/>
        </w:rPr>
        <w:t xml:space="preserve"> [ - Operational Expenditure -]</w:t>
      </w:r>
      <w:r w:rsidRPr="00196445">
        <w:rPr>
          <w:rFonts w:ascii="Garamond" w:eastAsia="Times New Roman" w:hAnsi="Garamond" w:cs="Arial"/>
          <w:sz w:val="24"/>
          <w:szCs w:val="24"/>
          <w:lang w:eastAsia="de-DE"/>
        </w:rPr>
        <w:t xml:space="preserve"> hingegen meint laufende Betriebs- oder Verwaltungskosten. Dazu gehören etwa Wartungsarbeiten, wiederkehrende Kosten für Softwarelizenzen und IT-Beratungsleistungen sowie Kosten für Internet bzw. Breitband oder in zunehmendem Maße für Software aus der Cloud</w:t>
      </w:r>
      <w:r w:rsidR="007130FB">
        <w:rPr>
          <w:rFonts w:ascii="Garamond" w:eastAsia="Times New Roman" w:hAnsi="Garamond" w:cs="Arial"/>
          <w:sz w:val="24"/>
          <w:szCs w:val="24"/>
          <w:lang w:eastAsia="de-DE"/>
        </w:rPr>
        <w:t xml:space="preserve"> []</w:t>
      </w:r>
      <w:r>
        <w:rPr>
          <w:rFonts w:ascii="Garamond" w:eastAsia="Times New Roman" w:hAnsi="Garamond" w:cs="Arial"/>
          <w:sz w:val="24"/>
          <w:szCs w:val="24"/>
          <w:lang w:eastAsia="de-DE"/>
        </w:rPr>
        <w:t xml:space="preserve">“ </w:t>
      </w:r>
      <w:sdt>
        <w:sdtPr>
          <w:rPr>
            <w:rFonts w:ascii="Garamond" w:eastAsia="Times New Roman" w:hAnsi="Garamond" w:cs="Arial"/>
            <w:sz w:val="24"/>
            <w:szCs w:val="24"/>
            <w:lang w:eastAsia="de-DE"/>
          </w:rPr>
          <w:id w:val="613938617"/>
          <w:citation/>
        </w:sdtPr>
        <w:sdtEndPr/>
        <w:sdtContent>
          <w:r w:rsidR="007130FB">
            <w:rPr>
              <w:rFonts w:ascii="Garamond" w:eastAsia="Times New Roman" w:hAnsi="Garamond" w:cs="Arial"/>
              <w:sz w:val="24"/>
              <w:szCs w:val="24"/>
              <w:lang w:eastAsia="de-DE"/>
            </w:rPr>
            <w:fldChar w:fldCharType="begin"/>
          </w:r>
          <w:r w:rsidR="007130FB">
            <w:rPr>
              <w:rFonts w:ascii="Garamond" w:eastAsia="Times New Roman" w:hAnsi="Garamond" w:cs="Arial"/>
              <w:sz w:val="24"/>
              <w:szCs w:val="24"/>
              <w:lang w:eastAsia="de-DE"/>
            </w:rPr>
            <w:instrText xml:space="preserve"> CITATION Car19 \l 1031 </w:instrText>
          </w:r>
          <w:r w:rsidR="007130FB">
            <w:rPr>
              <w:rFonts w:ascii="Garamond" w:eastAsia="Times New Roman" w:hAnsi="Garamond" w:cs="Arial"/>
              <w:sz w:val="24"/>
              <w:szCs w:val="24"/>
              <w:lang w:eastAsia="de-DE"/>
            </w:rPr>
            <w:fldChar w:fldCharType="separate"/>
          </w:r>
          <w:r w:rsidR="007130FB" w:rsidRPr="007130FB">
            <w:rPr>
              <w:rFonts w:ascii="Garamond" w:eastAsia="Times New Roman" w:hAnsi="Garamond" w:cs="Arial"/>
              <w:noProof/>
              <w:sz w:val="24"/>
              <w:szCs w:val="24"/>
              <w:lang w:eastAsia="de-DE"/>
            </w:rPr>
            <w:t>(Müller, 2019)</w:t>
          </w:r>
          <w:r w:rsidR="007130FB">
            <w:rPr>
              <w:rFonts w:ascii="Garamond" w:eastAsia="Times New Roman" w:hAnsi="Garamond" w:cs="Arial"/>
              <w:sz w:val="24"/>
              <w:szCs w:val="24"/>
              <w:lang w:eastAsia="de-DE"/>
            </w:rPr>
            <w:fldChar w:fldCharType="end"/>
          </w:r>
        </w:sdtContent>
      </w:sdt>
      <w:r w:rsidR="007130FB">
        <w:rPr>
          <w:rFonts w:ascii="Garamond" w:eastAsia="Times New Roman" w:hAnsi="Garamond" w:cs="Arial"/>
          <w:sz w:val="24"/>
          <w:szCs w:val="24"/>
          <w:lang w:eastAsia="de-DE"/>
        </w:rPr>
        <w:t>.</w:t>
      </w:r>
    </w:p>
    <w:p w14:paraId="008548CF" w14:textId="1377811C" w:rsidR="0095419E" w:rsidRDefault="0095419E" w:rsidP="007130FB">
      <w:pPr>
        <w:jc w:val="both"/>
        <w:rPr>
          <w:rFonts w:ascii="Garamond" w:hAnsi="Garamond"/>
          <w:sz w:val="24"/>
          <w:szCs w:val="24"/>
        </w:rPr>
      </w:pPr>
      <w:r>
        <w:rPr>
          <w:rFonts w:ascii="Garamond" w:hAnsi="Garamond"/>
          <w:sz w:val="24"/>
          <w:szCs w:val="24"/>
        </w:rPr>
        <w:t>Wenn ein Unternehmen sich entschließt sein On-Premise-ERP-System durch eine Cloud-ERP-Lösung zu ersetzen, verlagert man seine dafür getätigten Capex-Ausgaben zu Opex-Ausgaben um. Bei dem Wechsel wie oben genannt, fallen Investitionen weg, die nicht mehr benötigt werden. Der Dienstleister kümmert sich um den Speicherplatz sowie die dazugehörigen Server und/oder Serverräume. „[] Teile der physischen Infrastruktur []“</w:t>
      </w:r>
      <w:sdt>
        <w:sdtPr>
          <w:rPr>
            <w:rFonts w:ascii="Garamond" w:hAnsi="Garamond"/>
            <w:sz w:val="24"/>
            <w:szCs w:val="24"/>
          </w:rPr>
          <w:id w:val="754333954"/>
          <w:citation/>
        </w:sdtPr>
        <w:sdtEndPr/>
        <w:sdtContent>
          <w:r w:rsidR="007130FB">
            <w:rPr>
              <w:rFonts w:ascii="Garamond" w:hAnsi="Garamond"/>
              <w:sz w:val="24"/>
              <w:szCs w:val="24"/>
            </w:rPr>
            <w:fldChar w:fldCharType="begin"/>
          </w:r>
          <w:r w:rsidR="007130FB">
            <w:rPr>
              <w:rFonts w:ascii="Garamond" w:hAnsi="Garamond"/>
              <w:sz w:val="24"/>
              <w:szCs w:val="24"/>
            </w:rPr>
            <w:instrText xml:space="preserve"> CITATION Car19 \l 1031 </w:instrText>
          </w:r>
          <w:r w:rsidR="007130FB">
            <w:rPr>
              <w:rFonts w:ascii="Garamond" w:hAnsi="Garamond"/>
              <w:sz w:val="24"/>
              <w:szCs w:val="24"/>
            </w:rPr>
            <w:fldChar w:fldCharType="separate"/>
          </w:r>
          <w:r w:rsidR="007130FB">
            <w:rPr>
              <w:rFonts w:ascii="Garamond" w:hAnsi="Garamond"/>
              <w:noProof/>
              <w:sz w:val="24"/>
              <w:szCs w:val="24"/>
            </w:rPr>
            <w:t xml:space="preserve"> </w:t>
          </w:r>
          <w:r w:rsidR="007130FB" w:rsidRPr="007130FB">
            <w:rPr>
              <w:rFonts w:ascii="Garamond" w:hAnsi="Garamond"/>
              <w:noProof/>
              <w:sz w:val="24"/>
              <w:szCs w:val="24"/>
            </w:rPr>
            <w:t>(Müller, 2019)</w:t>
          </w:r>
          <w:r w:rsidR="007130FB">
            <w:rPr>
              <w:rFonts w:ascii="Garamond" w:hAnsi="Garamond"/>
              <w:sz w:val="24"/>
              <w:szCs w:val="24"/>
            </w:rPr>
            <w:fldChar w:fldCharType="end"/>
          </w:r>
        </w:sdtContent>
      </w:sdt>
      <w:r>
        <w:rPr>
          <w:rFonts w:ascii="Garamond" w:hAnsi="Garamond"/>
          <w:sz w:val="24"/>
          <w:szCs w:val="24"/>
        </w:rPr>
        <w:t>– Technik - werden unnötig und deswegen entfernt. Auch Updates übernimmt der Vertragspartner sowie die Verantwortlichkeit für die Sicherheit der Daten.</w:t>
      </w:r>
    </w:p>
    <w:p w14:paraId="1446EF10" w14:textId="77777777" w:rsidR="0095419E" w:rsidRDefault="0095419E" w:rsidP="007130FB">
      <w:pPr>
        <w:jc w:val="both"/>
        <w:rPr>
          <w:rFonts w:ascii="Garamond" w:hAnsi="Garamond"/>
          <w:sz w:val="24"/>
          <w:szCs w:val="24"/>
        </w:rPr>
      </w:pPr>
      <w:r>
        <w:rPr>
          <w:rFonts w:ascii="Garamond" w:hAnsi="Garamond"/>
          <w:sz w:val="24"/>
          <w:szCs w:val="24"/>
        </w:rPr>
        <w:t>Bezüglich zu den Aktualisierungen lässt sich sagen, dass ein auf Capex-basiertes Produkt nur bis zum Garantieende wirklich aktualisiert wird, man kauft eine Version und oft das sie lang genug den Anforderungen entspricht. Eine auf Opex-basiertes System wird hingegen regelmäßig aktualisiert und auf Fehler überprüft. Der Dienstleister ist auch zuständig falls Problem auftreten im Programm bei Cloud-Lösungen bis keine Lizenzen mehr gekauft werden, bei On-Premise-Modellen nur bis die Garantie abläuft.</w:t>
      </w:r>
    </w:p>
    <w:p w14:paraId="004E05B2" w14:textId="77777777" w:rsidR="0095419E" w:rsidRDefault="0095419E" w:rsidP="007130FB">
      <w:pPr>
        <w:jc w:val="both"/>
        <w:rPr>
          <w:rFonts w:ascii="Garamond" w:hAnsi="Garamond"/>
          <w:sz w:val="24"/>
          <w:szCs w:val="24"/>
        </w:rPr>
      </w:pPr>
      <w:r>
        <w:rPr>
          <w:rFonts w:ascii="Garamond" w:hAnsi="Garamond"/>
          <w:sz w:val="24"/>
          <w:szCs w:val="24"/>
        </w:rPr>
        <w:t>Cloud-Lösungen sind in gewisser Weise skalierbar. Je nach Wachstum des Unternehmens kann es mehrere Lizenzen dazu kaufen oder kündigen. Zu viele Lizenzen auf einmal zu kündigen wird vom Anbieter zwar auch nicht gerne gesehen. Somit kann es auf den Bedarf und mögliche Nachfrage jederzeit flexibel reagieren. Dies ist bei Capex-Ausgaben nicht so einfach möglich, denn die Lizenz für das Produkt gehört dem Kunden und nicht mehr dem Unternehmen. Deswegen sollte bei diesem Modell immer vorsichtiger skaliert werden.</w:t>
      </w:r>
    </w:p>
    <w:p w14:paraId="4C3D2437" w14:textId="77777777" w:rsidR="0095419E" w:rsidRDefault="0095419E" w:rsidP="007130FB">
      <w:pPr>
        <w:jc w:val="both"/>
        <w:rPr>
          <w:rFonts w:ascii="Garamond" w:hAnsi="Garamond"/>
          <w:sz w:val="24"/>
          <w:szCs w:val="24"/>
        </w:rPr>
      </w:pPr>
      <w:r>
        <w:rPr>
          <w:rFonts w:ascii="Garamond" w:hAnsi="Garamond"/>
          <w:sz w:val="24"/>
          <w:szCs w:val="24"/>
        </w:rPr>
        <w:t>Generell lässt sich sagen, dass der Trend immer weiter Richtung Cloud-basierten ERP-Lösungen treibt. Diese bieten auch viele Vorteile wie weniger Kosten – weniger Zubehör (Servern, Klimatisierung für Serverräume), keine für Cloud zuständigen Mitarbeiter – vor allem am Anfang zur Vorbereitung, längere Unterstützung bei Fehlern und Aktualisierungen. Sie sind flexibler gestaltbar bezüglich Skalierbarkeit und Budgetierung.</w:t>
      </w:r>
    </w:p>
    <w:p w14:paraId="2A6450E1" w14:textId="657F924B" w:rsidR="0015248C" w:rsidRPr="001332CE" w:rsidRDefault="0015248C" w:rsidP="00F96815">
      <w:pPr>
        <w:rPr>
          <w:rFonts w:ascii="Garamond" w:hAnsi="Garamond"/>
          <w:sz w:val="24"/>
          <w:szCs w:val="24"/>
        </w:rPr>
      </w:pPr>
    </w:p>
    <w:p w14:paraId="6A1C2DD2" w14:textId="5616C4AD" w:rsidR="0015248C" w:rsidRPr="001332CE" w:rsidRDefault="0015248C" w:rsidP="00F96815">
      <w:pPr>
        <w:rPr>
          <w:rFonts w:ascii="Garamond" w:hAnsi="Garamond"/>
          <w:sz w:val="24"/>
          <w:szCs w:val="24"/>
        </w:rPr>
      </w:pPr>
    </w:p>
    <w:p w14:paraId="4284168F" w14:textId="70F53BC7" w:rsidR="0015248C" w:rsidRDefault="0015248C" w:rsidP="00F96815">
      <w:pPr>
        <w:rPr>
          <w:rFonts w:ascii="Garamond" w:hAnsi="Garamond"/>
          <w:sz w:val="24"/>
          <w:szCs w:val="24"/>
        </w:rPr>
      </w:pPr>
    </w:p>
    <w:p w14:paraId="0B033330" w14:textId="14CF6F83" w:rsidR="0095419E" w:rsidRDefault="0095419E" w:rsidP="00F96815">
      <w:pPr>
        <w:rPr>
          <w:rFonts w:ascii="Garamond" w:hAnsi="Garamond"/>
          <w:sz w:val="24"/>
          <w:szCs w:val="24"/>
        </w:rPr>
      </w:pPr>
    </w:p>
    <w:p w14:paraId="74F5BB78" w14:textId="1225E45B" w:rsidR="0095419E" w:rsidRDefault="0095419E" w:rsidP="00F96815">
      <w:pPr>
        <w:rPr>
          <w:rFonts w:ascii="Garamond" w:hAnsi="Garamond"/>
          <w:sz w:val="24"/>
          <w:szCs w:val="24"/>
        </w:rPr>
      </w:pPr>
    </w:p>
    <w:p w14:paraId="52B630FA" w14:textId="3281D052" w:rsidR="0095419E" w:rsidRDefault="0095419E" w:rsidP="00F96815">
      <w:pPr>
        <w:rPr>
          <w:rFonts w:ascii="Garamond" w:hAnsi="Garamond"/>
          <w:sz w:val="24"/>
          <w:szCs w:val="24"/>
        </w:rPr>
      </w:pPr>
    </w:p>
    <w:p w14:paraId="3921AA0A" w14:textId="5B8509B6" w:rsidR="0095419E" w:rsidRDefault="0095419E" w:rsidP="00F96815">
      <w:pPr>
        <w:rPr>
          <w:rFonts w:ascii="Garamond" w:hAnsi="Garamond"/>
          <w:sz w:val="24"/>
          <w:szCs w:val="24"/>
        </w:rPr>
      </w:pPr>
    </w:p>
    <w:p w14:paraId="19D28148" w14:textId="3BB66BCB" w:rsidR="0095419E" w:rsidRDefault="0095419E" w:rsidP="00F96815">
      <w:pPr>
        <w:rPr>
          <w:rFonts w:ascii="Garamond" w:hAnsi="Garamond"/>
          <w:sz w:val="24"/>
          <w:szCs w:val="24"/>
        </w:rPr>
      </w:pPr>
    </w:p>
    <w:p w14:paraId="60520CE8" w14:textId="46C60908" w:rsidR="0095419E" w:rsidRDefault="0095419E" w:rsidP="00F96815">
      <w:pPr>
        <w:rPr>
          <w:rFonts w:ascii="Garamond" w:hAnsi="Garamond"/>
          <w:sz w:val="24"/>
          <w:szCs w:val="24"/>
        </w:rPr>
      </w:pPr>
    </w:p>
    <w:p w14:paraId="36554F33" w14:textId="01CC2276" w:rsidR="0095419E" w:rsidRDefault="0095419E" w:rsidP="00F96815">
      <w:pPr>
        <w:rPr>
          <w:rFonts w:ascii="Garamond" w:hAnsi="Garamond"/>
          <w:sz w:val="24"/>
          <w:szCs w:val="24"/>
        </w:rPr>
      </w:pPr>
    </w:p>
    <w:p w14:paraId="0F52AE8F" w14:textId="71FF6570" w:rsidR="0095419E" w:rsidRDefault="0095419E" w:rsidP="00F96815">
      <w:pPr>
        <w:rPr>
          <w:rFonts w:ascii="Garamond" w:hAnsi="Garamond"/>
          <w:sz w:val="24"/>
          <w:szCs w:val="24"/>
        </w:rPr>
      </w:pPr>
    </w:p>
    <w:p w14:paraId="6DE36116" w14:textId="47107C4F" w:rsidR="0095419E" w:rsidRDefault="0095419E" w:rsidP="00F96815">
      <w:pPr>
        <w:rPr>
          <w:rFonts w:ascii="Garamond" w:hAnsi="Garamond"/>
          <w:sz w:val="24"/>
          <w:szCs w:val="24"/>
        </w:rPr>
      </w:pPr>
    </w:p>
    <w:p w14:paraId="5E7DAB27" w14:textId="161BE9D0" w:rsidR="0095419E" w:rsidRDefault="0095419E" w:rsidP="00F96815">
      <w:pPr>
        <w:rPr>
          <w:rFonts w:ascii="Garamond" w:hAnsi="Garamond"/>
          <w:sz w:val="24"/>
          <w:szCs w:val="24"/>
        </w:rPr>
      </w:pPr>
    </w:p>
    <w:p w14:paraId="47E58097" w14:textId="4A830B41" w:rsidR="0095419E" w:rsidRDefault="0095419E" w:rsidP="00F96815">
      <w:pPr>
        <w:rPr>
          <w:rFonts w:ascii="Garamond" w:hAnsi="Garamond"/>
          <w:sz w:val="24"/>
          <w:szCs w:val="24"/>
        </w:rPr>
      </w:pPr>
    </w:p>
    <w:p w14:paraId="1FFC861F" w14:textId="35B205C4" w:rsidR="0095419E" w:rsidRDefault="0095419E" w:rsidP="00F96815">
      <w:pPr>
        <w:rPr>
          <w:rFonts w:ascii="Garamond" w:hAnsi="Garamond"/>
          <w:sz w:val="24"/>
          <w:szCs w:val="24"/>
        </w:rPr>
      </w:pPr>
    </w:p>
    <w:p w14:paraId="0993F404" w14:textId="77777777" w:rsidR="0095419E" w:rsidRPr="001332CE" w:rsidRDefault="0095419E"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6480E0CB" w14:textId="622A81AE" w:rsidR="001332CE" w:rsidRPr="001332CE" w:rsidRDefault="00B44D8D" w:rsidP="001332CE">
      <w:pPr>
        <w:pStyle w:val="berschrift1"/>
        <w:numPr>
          <w:ilvl w:val="0"/>
          <w:numId w:val="3"/>
        </w:numPr>
        <w:rPr>
          <w:rFonts w:ascii="Garamond" w:hAnsi="Garamond"/>
        </w:rPr>
      </w:pPr>
      <w:r>
        <w:rPr>
          <w:rFonts w:ascii="Garamond" w:hAnsi="Garamond"/>
        </w:rPr>
        <w:t xml:space="preserve"> </w:t>
      </w:r>
      <w:bookmarkStart w:id="15" w:name="_Toc23954522"/>
      <w:r w:rsidRPr="00937B7E">
        <w:rPr>
          <w:rFonts w:ascii="Garamond" w:hAnsi="Garamond"/>
        </w:rPr>
        <w:t>Kundenbindung und Anbieterwechsel</w:t>
      </w:r>
      <w:bookmarkEnd w:id="15"/>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6" w:name="_Toc23954523"/>
      <w:r>
        <w:rPr>
          <w:rFonts w:ascii="Garamond" w:hAnsi="Garamond"/>
        </w:rPr>
        <w:t>Schluss</w:t>
      </w:r>
      <w:bookmarkEnd w:id="16"/>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7" w:name="_Toc23954524" w:displacedByCustomXml="next"/>
    <w:sdt>
      <w:sdtPr>
        <w:rPr>
          <w:rFonts w:asciiTheme="minorHAnsi" w:eastAsiaTheme="minorHAnsi" w:hAnsiTheme="minorHAnsi" w:cstheme="minorBidi"/>
          <w:color w:val="auto"/>
          <w:sz w:val="22"/>
          <w:szCs w:val="22"/>
        </w:rPr>
        <w:id w:val="889618246"/>
        <w:docPartObj>
          <w:docPartGallery w:val="Bibliographies"/>
          <w:docPartUnique/>
        </w:docPartObj>
      </w:sdtPr>
      <w:sdtEndPr/>
      <w:sdtContent>
        <w:p w14:paraId="420C36B1" w14:textId="106C0188" w:rsidR="00703252" w:rsidRDefault="00703252">
          <w:pPr>
            <w:pStyle w:val="berschrift1"/>
          </w:pPr>
          <w:r>
            <w:t>Literaturverzeichnis</w:t>
          </w:r>
          <w:bookmarkEnd w:id="17"/>
        </w:p>
        <w:sdt>
          <w:sdtPr>
            <w:id w:val="111145805"/>
            <w:bibliography/>
          </w:sdtPr>
          <w:sdtEndPr/>
          <w:sdtContent>
            <w:p w14:paraId="11E2E0FB" w14:textId="77777777" w:rsidR="00703252" w:rsidRDefault="00703252" w:rsidP="00703252">
              <w:pPr>
                <w:pStyle w:val="Literaturverzeichnis"/>
                <w:ind w:left="720" w:hanging="720"/>
                <w:rPr>
                  <w:noProof/>
                  <w:sz w:val="24"/>
                  <w:szCs w:val="24"/>
                </w:rPr>
              </w:pPr>
              <w:r>
                <w:fldChar w:fldCharType="begin"/>
              </w:r>
              <w:r>
                <w:instrText>BIBLIOGRAPHY</w:instrText>
              </w:r>
              <w:r>
                <w:fldChar w:fldCharType="separate"/>
              </w:r>
              <w:r>
                <w:rPr>
                  <w:noProof/>
                </w:rPr>
                <w:t xml:space="preserve">Augsten, S. (2017). Definition „SLA“ Was sind Service Level Agreements? </w:t>
              </w:r>
              <w:r>
                <w:rPr>
                  <w:i/>
                  <w:iCs/>
                  <w:noProof/>
                </w:rPr>
                <w:t>dev Insider</w:t>
              </w:r>
              <w:r>
                <w:rPr>
                  <w:noProof/>
                </w:rPr>
                <w:t>. Abgerufen am 30. 10 2019 von https://www.dev-insider.de/was-sind-service-level-agreements-a-640662/</w:t>
              </w:r>
            </w:p>
            <w:p w14:paraId="47DDB887" w14:textId="77777777" w:rsidR="00703252" w:rsidRDefault="00703252" w:rsidP="00703252">
              <w:pPr>
                <w:pStyle w:val="Literaturverzeichnis"/>
                <w:ind w:left="720" w:hanging="720"/>
                <w:rPr>
                  <w:noProof/>
                </w:rPr>
              </w:pPr>
              <w:r>
                <w:rPr>
                  <w:noProof/>
                </w:rPr>
                <w:t xml:space="preserve">Borchers, D. (04. 28 2006). </w:t>
              </w:r>
              <w:r>
                <w:rPr>
                  <w:i/>
                  <w:iCs/>
                  <w:noProof/>
                </w:rPr>
                <w:t>heise online</w:t>
              </w:r>
              <w:r>
                <w:rPr>
                  <w:noProof/>
                </w:rPr>
                <w:t>. Von https://www.heise.de/newsticker/meldung/Das-waren-die-Roots-Wie-das-Internet-nach-Deutschland-kam-120535.html abgerufen</w:t>
              </w:r>
            </w:p>
            <w:p w14:paraId="1FFCFE7E" w14:textId="77777777" w:rsidR="00703252" w:rsidRDefault="00703252" w:rsidP="00703252">
              <w:pPr>
                <w:pStyle w:val="Literaturverzeichnis"/>
                <w:ind w:left="720" w:hanging="720"/>
                <w:rPr>
                  <w:noProof/>
                </w:rPr>
              </w:pPr>
              <w:r>
                <w:rPr>
                  <w:noProof/>
                </w:rPr>
                <w:t xml:space="preserve">Gross, J. (2012). SaaS versus on-premise ERP. </w:t>
              </w:r>
              <w:r>
                <w:rPr>
                  <w:i/>
                  <w:iCs/>
                  <w:noProof/>
                </w:rPr>
                <w:t>Ziff Davis B2B</w:t>
              </w:r>
              <w:r>
                <w:rPr>
                  <w:noProof/>
                </w:rPr>
                <w:t>.</w:t>
              </w:r>
            </w:p>
            <w:p w14:paraId="47BBED62" w14:textId="77777777" w:rsidR="00703252" w:rsidRDefault="00703252" w:rsidP="00703252">
              <w:pPr>
                <w:pStyle w:val="Literaturverzeichnis"/>
                <w:ind w:left="720" w:hanging="720"/>
                <w:rPr>
                  <w:noProof/>
                </w:rPr>
              </w:pPr>
              <w:r>
                <w:rPr>
                  <w:noProof/>
                </w:rPr>
                <w:t>Gruhn, R. (2018). Unternehmen droht der Cloud-Lock-in. Von https://www.cloudcomputing-insider.de/unternehmen-droht-der-cloud-lock-in-a-692516/ abgerufen</w:t>
              </w:r>
            </w:p>
            <w:p w14:paraId="0F8E98A1" w14:textId="77777777" w:rsidR="00703252" w:rsidRDefault="00703252" w:rsidP="00703252">
              <w:pPr>
                <w:pStyle w:val="Literaturverzeichnis"/>
                <w:ind w:left="720" w:hanging="720"/>
                <w:rPr>
                  <w:noProof/>
                </w:rPr>
              </w:pPr>
              <w:r>
                <w:rPr>
                  <w:noProof/>
                </w:rPr>
                <w:t xml:space="preserve">Mosher, R. (2011). Cloud Computing Risks. </w:t>
              </w:r>
              <w:r>
                <w:rPr>
                  <w:i/>
                  <w:iCs/>
                  <w:noProof/>
                </w:rPr>
                <w:t>ISSA Journal</w:t>
              </w:r>
              <w:r>
                <w:rPr>
                  <w:noProof/>
                </w:rPr>
                <w:t>.</w:t>
              </w:r>
            </w:p>
            <w:p w14:paraId="6C820BA9" w14:textId="77777777" w:rsidR="00703252" w:rsidRDefault="00703252" w:rsidP="00703252">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540654EB" w14:textId="77777777" w:rsidR="00703252" w:rsidRDefault="00703252" w:rsidP="00703252">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11F4A566" w14:textId="77777777" w:rsidR="00703252" w:rsidRDefault="00703252" w:rsidP="00703252">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7179EE5A" w14:textId="77777777" w:rsidR="00703252" w:rsidRDefault="00703252" w:rsidP="00703252">
              <w:pPr>
                <w:pStyle w:val="Literaturverzeichnis"/>
                <w:ind w:left="720" w:hanging="720"/>
                <w:rPr>
                  <w:noProof/>
                </w:rPr>
              </w:pPr>
              <w:r>
                <w:rPr>
                  <w:noProof/>
                </w:rPr>
                <w:t>Schneider, M. (2019). Risiken von ERP in der Cloud minimieren. Von https://www.security-insider.de/risiken-von-erp-in-der-cloud-minimieren-a-809062/ abgerufen</w:t>
              </w:r>
            </w:p>
            <w:p w14:paraId="699B0388" w14:textId="6DB9EAA7" w:rsidR="00703252" w:rsidRDefault="00703252" w:rsidP="00703252">
              <w:r>
                <w:rPr>
                  <w:b/>
                  <w:bCs/>
                </w:rPr>
                <w:fldChar w:fldCharType="end"/>
              </w:r>
            </w:p>
          </w:sdtContent>
        </w:sdt>
      </w:sdtContent>
    </w:sdt>
    <w:p w14:paraId="0474AEA9" w14:textId="6BCD6799" w:rsidR="00CC7BD6" w:rsidRDefault="00CC7BD6" w:rsidP="00703252"/>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8" w:name="_Toc23954525"/>
      <w:r w:rsidRPr="00B92857">
        <w:rPr>
          <w:rFonts w:ascii="Garamond" w:hAnsi="Garamond"/>
        </w:rPr>
        <w:lastRenderedPageBreak/>
        <w:t>A</w:t>
      </w:r>
      <w:r w:rsidR="00B51E81" w:rsidRPr="00B92857">
        <w:rPr>
          <w:rFonts w:ascii="Garamond" w:hAnsi="Garamond"/>
        </w:rPr>
        <w:t>bbildungsverzeichnis</w:t>
      </w:r>
      <w:bookmarkEnd w:id="18"/>
    </w:p>
    <w:p w14:paraId="126C8C02" w14:textId="5242B7AA" w:rsidR="00703252" w:rsidRPr="00937B7E" w:rsidRDefault="000E2679" w:rsidP="00487A97">
      <w:pPr>
        <w:rPr>
          <w:rFonts w:ascii="Garamond" w:hAnsi="Garamond"/>
          <w:sz w:val="24"/>
          <w:szCs w:val="24"/>
        </w:rPr>
      </w:pPr>
      <w:sdt>
        <w:sdtPr>
          <w:rPr>
            <w:rFonts w:ascii="Garamond" w:hAnsi="Garamond"/>
            <w:sz w:val="24"/>
            <w:szCs w:val="24"/>
          </w:rPr>
          <w:id w:val="-537284286"/>
          <w:citation/>
        </w:sdtPr>
        <w:sdtEndPr/>
        <w:sdtContent>
          <w:r w:rsidR="003A50F9">
            <w:rPr>
              <w:rFonts w:ascii="Garamond" w:hAnsi="Garamond"/>
              <w:sz w:val="24"/>
              <w:szCs w:val="24"/>
            </w:rPr>
            <w:fldChar w:fldCharType="begin"/>
          </w:r>
          <w:r w:rsidR="003A50F9">
            <w:rPr>
              <w:rFonts w:ascii="Garamond" w:hAnsi="Garamond" w:cstheme="minorHAnsi"/>
              <w:sz w:val="24"/>
              <w:szCs w:val="24"/>
            </w:rPr>
            <w:instrText xml:space="preserve"> CITATION Rou12 \l 1031 </w:instrText>
          </w:r>
          <w:r w:rsidR="003A50F9">
            <w:rPr>
              <w:rFonts w:ascii="Garamond" w:hAnsi="Garamond"/>
              <w:sz w:val="24"/>
              <w:szCs w:val="24"/>
            </w:rPr>
            <w:fldChar w:fldCharType="separate"/>
          </w:r>
          <w:r w:rsidR="003A50F9" w:rsidRPr="003A50F9">
            <w:rPr>
              <w:rFonts w:ascii="Garamond" w:hAnsi="Garamond" w:cstheme="minorHAnsi"/>
              <w:noProof/>
              <w:sz w:val="24"/>
              <w:szCs w:val="24"/>
            </w:rPr>
            <w:t>(Rouse, 2012)</w:t>
          </w:r>
          <w:r w:rsidR="003A50F9">
            <w:rPr>
              <w:rFonts w:ascii="Garamond" w:hAnsi="Garamond"/>
              <w:sz w:val="24"/>
              <w:szCs w:val="24"/>
            </w:rPr>
            <w:fldChar w:fldCharType="end"/>
          </w:r>
        </w:sdtContent>
      </w:sdt>
    </w:p>
    <w:sectPr w:rsidR="00703252" w:rsidRPr="00937B7E" w:rsidSect="00937B7E">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45650" w14:textId="77777777" w:rsidR="000E2679" w:rsidRDefault="000E2679" w:rsidP="00937B7E">
      <w:pPr>
        <w:spacing w:after="0" w:line="240" w:lineRule="auto"/>
      </w:pPr>
      <w:r>
        <w:separator/>
      </w:r>
    </w:p>
  </w:endnote>
  <w:endnote w:type="continuationSeparator" w:id="0">
    <w:p w14:paraId="29A13C71" w14:textId="77777777" w:rsidR="000E2679" w:rsidRDefault="000E2679"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365124"/>
      <w:docPartObj>
        <w:docPartGallery w:val="Page Numbers (Bottom of Page)"/>
        <w:docPartUnique/>
      </w:docPartObj>
    </w:sdtPr>
    <w:sdtEndPr/>
    <w:sdtContent>
      <w:p w14:paraId="2A3EA347" w14:textId="7170AE2F" w:rsidR="00B92857" w:rsidRDefault="00B92857">
        <w:pPr>
          <w:pStyle w:val="Fuzeile"/>
          <w:jc w:val="right"/>
        </w:pPr>
        <w:r>
          <w:fldChar w:fldCharType="begin"/>
        </w:r>
        <w:r>
          <w:instrText>PAGE   \* MERGEFORMAT</w:instrText>
        </w:r>
        <w:r>
          <w:fldChar w:fldCharType="separate"/>
        </w:r>
        <w:r w:rsidR="0074353E">
          <w:rPr>
            <w:noProof/>
          </w:rPr>
          <w:t>10</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97DC6" w14:textId="77777777" w:rsidR="000E2679" w:rsidRDefault="000E2679" w:rsidP="00937B7E">
      <w:pPr>
        <w:spacing w:after="0" w:line="240" w:lineRule="auto"/>
      </w:pPr>
      <w:r>
        <w:separator/>
      </w:r>
    </w:p>
  </w:footnote>
  <w:footnote w:type="continuationSeparator" w:id="0">
    <w:p w14:paraId="6D4C0632" w14:textId="77777777" w:rsidR="000E2679" w:rsidRDefault="000E2679" w:rsidP="00937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2CE8"/>
    <w:multiLevelType w:val="hybridMultilevel"/>
    <w:tmpl w:val="566E4A74"/>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2BA83F1A"/>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8"/>
    <w:rsid w:val="00041043"/>
    <w:rsid w:val="000E0A42"/>
    <w:rsid w:val="000E2679"/>
    <w:rsid w:val="00120C9C"/>
    <w:rsid w:val="001332CE"/>
    <w:rsid w:val="00134DFC"/>
    <w:rsid w:val="001365DE"/>
    <w:rsid w:val="00145297"/>
    <w:rsid w:val="0015248C"/>
    <w:rsid w:val="001F0CEE"/>
    <w:rsid w:val="002F1AD4"/>
    <w:rsid w:val="00301F8A"/>
    <w:rsid w:val="00316CF1"/>
    <w:rsid w:val="003A50F9"/>
    <w:rsid w:val="003F3D3F"/>
    <w:rsid w:val="0040216D"/>
    <w:rsid w:val="004106B9"/>
    <w:rsid w:val="00445509"/>
    <w:rsid w:val="00464B30"/>
    <w:rsid w:val="004652B4"/>
    <w:rsid w:val="00487A97"/>
    <w:rsid w:val="004B1D48"/>
    <w:rsid w:val="004B46B8"/>
    <w:rsid w:val="00546D86"/>
    <w:rsid w:val="005D0CE9"/>
    <w:rsid w:val="005D3F95"/>
    <w:rsid w:val="005D7F6E"/>
    <w:rsid w:val="00703252"/>
    <w:rsid w:val="00706C71"/>
    <w:rsid w:val="007130FB"/>
    <w:rsid w:val="00715934"/>
    <w:rsid w:val="0074353E"/>
    <w:rsid w:val="00755330"/>
    <w:rsid w:val="007747EF"/>
    <w:rsid w:val="007C0632"/>
    <w:rsid w:val="008644D3"/>
    <w:rsid w:val="008A7F84"/>
    <w:rsid w:val="008B1999"/>
    <w:rsid w:val="008C47F0"/>
    <w:rsid w:val="008C4D95"/>
    <w:rsid w:val="008D0E1A"/>
    <w:rsid w:val="008D28A0"/>
    <w:rsid w:val="00937B7E"/>
    <w:rsid w:val="0095419E"/>
    <w:rsid w:val="00963560"/>
    <w:rsid w:val="009C3184"/>
    <w:rsid w:val="009C5516"/>
    <w:rsid w:val="009F5CCE"/>
    <w:rsid w:val="00A266D8"/>
    <w:rsid w:val="00A41E2F"/>
    <w:rsid w:val="00A4259E"/>
    <w:rsid w:val="00A71B7B"/>
    <w:rsid w:val="00AE2ED4"/>
    <w:rsid w:val="00B20C4E"/>
    <w:rsid w:val="00B4481B"/>
    <w:rsid w:val="00B44D8D"/>
    <w:rsid w:val="00B51E81"/>
    <w:rsid w:val="00B92857"/>
    <w:rsid w:val="00BB1917"/>
    <w:rsid w:val="00BE5C42"/>
    <w:rsid w:val="00C34276"/>
    <w:rsid w:val="00C750CD"/>
    <w:rsid w:val="00C8580C"/>
    <w:rsid w:val="00C87C52"/>
    <w:rsid w:val="00C96965"/>
    <w:rsid w:val="00CC7BD6"/>
    <w:rsid w:val="00CE0B9E"/>
    <w:rsid w:val="00CE32CC"/>
    <w:rsid w:val="00D079EB"/>
    <w:rsid w:val="00D1342A"/>
    <w:rsid w:val="00D93153"/>
    <w:rsid w:val="00DA4B85"/>
    <w:rsid w:val="00DD2C06"/>
    <w:rsid w:val="00E13963"/>
    <w:rsid w:val="00E44850"/>
    <w:rsid w:val="00E70156"/>
    <w:rsid w:val="00EA01C8"/>
    <w:rsid w:val="00EF1414"/>
    <w:rsid w:val="00EF18C3"/>
    <w:rsid w:val="00EF591D"/>
    <w:rsid w:val="00EF5BC5"/>
    <w:rsid w:val="00F27D5B"/>
    <w:rsid w:val="00F44D7D"/>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 w:type="paragraph" w:styleId="KeinLeerraum">
    <w:name w:val="No Spacing"/>
    <w:uiPriority w:val="1"/>
    <w:qFormat/>
    <w:rsid w:val="00BB1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18969889">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0616384">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97260375">
      <w:bodyDiv w:val="1"/>
      <w:marLeft w:val="0"/>
      <w:marRight w:val="0"/>
      <w:marTop w:val="0"/>
      <w:marBottom w:val="0"/>
      <w:divBdr>
        <w:top w:val="none" w:sz="0" w:space="0" w:color="auto"/>
        <w:left w:val="none" w:sz="0" w:space="0" w:color="auto"/>
        <w:bottom w:val="none" w:sz="0" w:space="0" w:color="auto"/>
        <w:right w:val="none" w:sz="0" w:space="0" w:color="auto"/>
      </w:divBdr>
    </w:div>
    <w:div w:id="10134623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26454884">
      <w:bodyDiv w:val="1"/>
      <w:marLeft w:val="0"/>
      <w:marRight w:val="0"/>
      <w:marTop w:val="0"/>
      <w:marBottom w:val="0"/>
      <w:divBdr>
        <w:top w:val="none" w:sz="0" w:space="0" w:color="auto"/>
        <w:left w:val="none" w:sz="0" w:space="0" w:color="auto"/>
        <w:bottom w:val="none" w:sz="0" w:space="0" w:color="auto"/>
        <w:right w:val="none" w:sz="0" w:space="0" w:color="auto"/>
      </w:divBdr>
    </w:div>
    <w:div w:id="231474804">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825740">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298921234">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87234807">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25580485">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175194718">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33733852">
      <w:bodyDiv w:val="1"/>
      <w:marLeft w:val="0"/>
      <w:marRight w:val="0"/>
      <w:marTop w:val="0"/>
      <w:marBottom w:val="0"/>
      <w:divBdr>
        <w:top w:val="none" w:sz="0" w:space="0" w:color="auto"/>
        <w:left w:val="none" w:sz="0" w:space="0" w:color="auto"/>
        <w:bottom w:val="none" w:sz="0" w:space="0" w:color="auto"/>
        <w:right w:val="none" w:sz="0" w:space="0" w:color="auto"/>
      </w:divBdr>
    </w:div>
    <w:div w:id="1239056374">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69656670">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1866026">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29599064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3816280">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1253525">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74772927">
      <w:bodyDiv w:val="1"/>
      <w:marLeft w:val="0"/>
      <w:marRight w:val="0"/>
      <w:marTop w:val="0"/>
      <w:marBottom w:val="0"/>
      <w:divBdr>
        <w:top w:val="none" w:sz="0" w:space="0" w:color="auto"/>
        <w:left w:val="none" w:sz="0" w:space="0" w:color="auto"/>
        <w:bottom w:val="none" w:sz="0" w:space="0" w:color="auto"/>
        <w:right w:val="none" w:sz="0" w:space="0" w:color="auto"/>
      </w:divBdr>
    </w:div>
    <w:div w:id="15895403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3851276">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86899224">
      <w:bodyDiv w:val="1"/>
      <w:marLeft w:val="0"/>
      <w:marRight w:val="0"/>
      <w:marTop w:val="0"/>
      <w:marBottom w:val="0"/>
      <w:divBdr>
        <w:top w:val="none" w:sz="0" w:space="0" w:color="auto"/>
        <w:left w:val="none" w:sz="0" w:space="0" w:color="auto"/>
        <w:bottom w:val="none" w:sz="0" w:space="0" w:color="auto"/>
        <w:right w:val="none" w:sz="0" w:space="0" w:color="auto"/>
      </w:divBdr>
    </w:div>
    <w:div w:id="1689335485">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293193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29019099">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61632209">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as-erp.com/de/news/abas-anwenderstudie-2017-mehr-akzeptanz-von-cloud-angeboten-im-erp-berei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de/topics/virtual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rchcloudcomputing.techtarget.com/definition/single-tenancy" TargetMode="External"/><Relationship Id="rId14" Type="http://schemas.openxmlformats.org/officeDocument/2006/relationships/hyperlink" Target="https://abas-erp.com/de/news/abas-anwenderstudie-2017-mehr-akzeptanz-von-cloud-angeboten-im-erp-bere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5</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6</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7</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3</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2</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9</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10</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11</b:RefOrder>
  </b:Source>
  <b:Source>
    <b:Tag>Det06</b:Tag>
    <b:SourceType>InternetSite</b:SourceType>
    <b:Guid>{80E0663D-2B91-4596-9AC8-A7755B530B6F}</b:Guid>
    <b:Author>
      <b:Author>
        <b:NameList>
          <b:Person>
            <b:Last>Borchers</b:Last>
            <b:First>Detlef</b:First>
          </b:Person>
        </b:NameList>
      </b:Author>
    </b:Author>
    <b:Title>heise online</b:Title>
    <b:Year>2006</b:Year>
    <b:Month>28</b:Month>
    <b:Day>04</b:Day>
    <b:URL>https://www.heise.de/newsticker/meldung/Das-waren-die-Roots-Wie-das-Internet-nach-Deutschland-kam-120535.html</b:URL>
    <b:RefOrder>1</b:RefOrder>
  </b:Source>
  <b:Source>
    <b:Tag>Rou12</b:Tag>
    <b:SourceType>InternetSite</b:SourceType>
    <b:Guid>{71F60F49-949B-47A8-8D58-A93A781B19F8}</b:Guid>
    <b:Author>
      <b:Author>
        <b:NameList>
          <b:Person>
            <b:Last>Rouse</b:Last>
            <b:First>Margaret</b:First>
          </b:Person>
        </b:NameList>
      </b:Author>
    </b:Author>
    <b:Title>TechTarget</b:Title>
    <b:Year>2012</b:Year>
    <b:Month>06</b:Month>
    <b:URL>https://searchcloudcomputing.techtarget.com/definition/single-tenancy</b:URL>
    <b:YearAccessed>2019</b:YearAccessed>
    <b:MonthAccessed>11</b:MonthAccessed>
    <b:DayAccessed>06</b:DayAccessed>
    <b:RefOrder>4</b:RefOrder>
  </b:Source>
  <b:Source>
    <b:Tag>Car19</b:Tag>
    <b:SourceType>InternetSite</b:SourceType>
    <b:Guid>{998D5B1E-B4AC-4F24-A21D-AB28F77D398E}</b:Guid>
    <b:Title>Capex/Opex im IT-Umfeld – Kostenverlagerung durch den Einsatz von Cloudtechnologie</b:Title>
    <b:Year>2019</b:Year>
    <b:Author>
      <b:Author>
        <b:NameList>
          <b:Person>
            <b:Last>Müller</b:Last>
            <b:First>Carl-Phillip</b:First>
          </b:Person>
        </b:NameList>
      </b:Author>
    </b:Author>
    <b:Month>08</b:Month>
    <b:Day>30</b:Day>
    <b:URL>https://www.allgeier-es.com/de/wir-lieben-die-cloud/capex-opex/</b:URL>
    <b:RefOrder>8</b:RefOrder>
  </b:Source>
</b:Sources>
</file>

<file path=customXml/itemProps1.xml><?xml version="1.0" encoding="utf-8"?>
<ds:datastoreItem xmlns:ds="http://schemas.openxmlformats.org/officeDocument/2006/customXml" ds:itemID="{C0BAF30E-A274-402A-8B47-DCCD26A8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4436</Words>
  <Characters>27950</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A.Ricolleau</cp:lastModifiedBy>
  <cp:revision>38</cp:revision>
  <cp:lastPrinted>2019-11-01T21:11:00Z</cp:lastPrinted>
  <dcterms:created xsi:type="dcterms:W3CDTF">2019-10-26T13:30:00Z</dcterms:created>
  <dcterms:modified xsi:type="dcterms:W3CDTF">2019-11-06T18:14:00Z</dcterms:modified>
</cp:coreProperties>
</file>