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0"/>
        <w:jc w:val="center"/>
      </w:pPr>
      <w:r>
        <w:rPr>
          <w:rFonts w:ascii="宋体" w:hAnsi="宋体" w:eastAsia="宋体"/>
          <w:b/>
          <w:sz w:val="44"/>
        </w:rPr>
        <w:t>2026年第八届</w:t>
      </w:r>
    </w:p>
    <w:p>
      <w:pPr>
        <w:spacing w:before="0" w:after="360"/>
        <w:jc w:val="center"/>
      </w:pPr>
      <w:r>
        <w:rPr>
          <w:rFonts w:ascii="宋体" w:hAnsi="宋体" w:eastAsia="宋体"/>
          <w:b/>
          <w:sz w:val="44"/>
        </w:rPr>
        <w:t>全球校园人工智能算法精英大赛</w:t>
      </w:r>
    </w:p>
    <w:p>
      <w:pPr>
        <w:spacing w:before="0" w:after="280"/>
        <w:jc w:val="center"/>
      </w:pPr>
      <w:r>
        <w:rPr>
          <w:rFonts w:ascii="宋体" w:hAnsi="宋体" w:eastAsia="宋体"/>
          <w:b/>
          <w:color w:val="000000"/>
          <w:sz w:val="36"/>
        </w:rPr>
        <w:t>算法主题赛</w:t>
      </w:r>
    </w:p>
    <w:p>
      <w:pPr>
        <w:spacing w:before="0" w:after="720"/>
        <w:jc w:val="center"/>
      </w:pPr>
      <w:r>
        <w:rPr>
          <w:rFonts w:ascii="宋体" w:hAnsi="宋体" w:eastAsia="宋体"/>
          <w:b/>
          <w:color w:val="000000"/>
          <w:sz w:val="52"/>
        </w:rPr>
        <w:t>技术报告</w:t>
      </w:r>
    </w:p>
    <w:p>
      <w:pPr>
        <w:spacing w:after="200"/>
        <w:jc w:val="center"/>
      </w:pPr>
      <w:r>
        <w:rPr>
          <w:rFonts w:ascii="宋体" w:hAnsi="宋体" w:eastAsia="宋体"/>
          <w:sz w:val="26"/>
        </w:rPr>
        <w:t>团队名称：启源者</w:t>
      </w:r>
    </w:p>
    <w:p>
      <w:pPr>
        <w:spacing w:after="200"/>
        <w:jc w:val="center"/>
      </w:pPr>
      <w:r>
        <w:rPr>
          <w:rFonts w:ascii="宋体" w:hAnsi="宋体" w:eastAsia="宋体"/>
          <w:sz w:val="26"/>
        </w:rPr>
        <w:t>参赛编号：AIC-2026-38933619</w:t>
      </w:r>
    </w:p>
    <w:p>
      <w:pPr>
        <w:spacing w:after="200"/>
        <w:jc w:val="center"/>
      </w:pPr>
      <w:r>
        <w:rPr>
          <w:rFonts w:ascii="宋体" w:hAnsi="宋体" w:eastAsia="宋体"/>
          <w:sz w:val="26"/>
        </w:rPr>
        <w:t>作品名称：ReproGuard复现守门人</w:t>
      </w:r>
    </w:p>
    <w:p>
      <w:pPr>
        <w:spacing w:after="200"/>
        <w:jc w:val="center"/>
      </w:pPr>
      <w:r>
        <w:rPr>
          <w:rFonts w:ascii="宋体" w:hAnsi="宋体" w:eastAsia="宋体"/>
          <w:sz w:val="26"/>
        </w:rPr>
        <w:t>日期：2026年10月27日</w:t>
      </w:r>
    </w:p>
    <w:p>
      <w:r>
        <w:br w:type="page"/>
      </w:r>
    </w:p>
    <w:p>
      <w:pPr>
        <w:spacing w:before="160" w:after="400"/>
        <w:jc w:val="center"/>
      </w:pPr>
      <w:r>
        <w:rPr>
          <w:rFonts w:ascii="宋体" w:hAnsi="宋体" w:eastAsia="宋体"/>
          <w:b/>
          <w:sz w:val="44"/>
        </w:rPr>
        <w:t>目  录</w:t>
      </w:r>
    </w:p>
    <w:p>
      <w:pPr>
        <w:spacing w:after="80"/>
        <w:ind w:left="0"/>
      </w:pPr>
      <w:r>
        <w:rPr>
          <w:rFonts w:ascii="宋体" w:hAnsi="宋体" w:eastAsia="宋体"/>
          <w:b/>
          <w:sz w:val="24"/>
        </w:rPr>
        <w:t>作品简介</w:t>
      </w:r>
    </w:p>
    <w:p>
      <w:pPr>
        <w:spacing w:after="80"/>
        <w:ind w:left="0"/>
      </w:pPr>
      <w:r>
        <w:rPr>
          <w:rFonts w:ascii="宋体" w:hAnsi="宋体" w:eastAsia="宋体"/>
          <w:b/>
          <w:sz w:val="24"/>
        </w:rPr>
        <w:t>一、项目概述</w:t>
      </w:r>
    </w:p>
    <w:p>
      <w:pPr>
        <w:spacing w:after="80"/>
        <w:ind w:left="397"/>
      </w:pPr>
      <w:r>
        <w:rPr>
          <w:rFonts w:ascii="宋体" w:hAnsi="宋体" w:eastAsia="宋体"/>
          <w:b w:val="0"/>
          <w:sz w:val="24"/>
        </w:rPr>
        <w:t>（一）项目背景与意义</w:t>
      </w:r>
    </w:p>
    <w:p>
      <w:pPr>
        <w:spacing w:after="80"/>
        <w:ind w:left="397"/>
      </w:pPr>
      <w:r>
        <w:rPr>
          <w:rFonts w:ascii="宋体" w:hAnsi="宋体" w:eastAsia="宋体"/>
          <w:b w:val="0"/>
          <w:sz w:val="24"/>
        </w:rPr>
        <w:t>（二）赛题方向定位</w:t>
      </w:r>
    </w:p>
    <w:p>
      <w:pPr>
        <w:spacing w:after="80"/>
        <w:ind w:left="0"/>
      </w:pPr>
      <w:r>
        <w:rPr>
          <w:rFonts w:ascii="宋体" w:hAnsi="宋体" w:eastAsia="宋体"/>
          <w:b/>
          <w:sz w:val="24"/>
        </w:rPr>
        <w:t>二、技术方案与实现</w:t>
      </w:r>
    </w:p>
    <w:p>
      <w:pPr>
        <w:spacing w:after="80"/>
        <w:ind w:left="397"/>
      </w:pPr>
      <w:r>
        <w:rPr>
          <w:rFonts w:ascii="宋体" w:hAnsi="宋体" w:eastAsia="宋体"/>
          <w:b w:val="0"/>
          <w:sz w:val="24"/>
        </w:rPr>
        <w:t>（一）总体方案</w:t>
      </w:r>
    </w:p>
    <w:p>
      <w:pPr>
        <w:spacing w:after="80"/>
        <w:ind w:left="397"/>
      </w:pPr>
      <w:r>
        <w:rPr>
          <w:rFonts w:ascii="宋体" w:hAnsi="宋体" w:eastAsia="宋体"/>
          <w:b w:val="0"/>
          <w:sz w:val="24"/>
        </w:rPr>
        <w:t>（二）AI与开源融合</w:t>
      </w:r>
    </w:p>
    <w:p>
      <w:pPr>
        <w:spacing w:after="80"/>
        <w:ind w:left="397"/>
      </w:pPr>
      <w:r>
        <w:rPr>
          <w:rFonts w:ascii="宋体" w:hAnsi="宋体" w:eastAsia="宋体"/>
          <w:b w:val="0"/>
          <w:sz w:val="24"/>
        </w:rPr>
        <w:t>（三）真实案例与效果验证</w:t>
      </w:r>
    </w:p>
    <w:p>
      <w:pPr>
        <w:spacing w:after="80"/>
        <w:ind w:left="397"/>
      </w:pPr>
      <w:r>
        <w:rPr>
          <w:rFonts w:ascii="宋体" w:hAnsi="宋体" w:eastAsia="宋体"/>
          <w:b w:val="0"/>
          <w:sz w:val="24"/>
        </w:rPr>
        <w:t>（四）开放成果与局限</w:t>
      </w:r>
    </w:p>
    <w:p>
      <w:pPr>
        <w:spacing w:after="80"/>
        <w:ind w:left="0"/>
      </w:pPr>
      <w:r>
        <w:rPr>
          <w:rFonts w:ascii="宋体" w:hAnsi="宋体" w:eastAsia="宋体"/>
          <w:b/>
          <w:sz w:val="24"/>
        </w:rPr>
        <w:t>三、附录</w:t>
      </w:r>
    </w:p>
    <w:p>
      <w:pPr>
        <w:spacing w:after="80"/>
        <w:ind w:left="397"/>
      </w:pPr>
      <w:r>
        <w:rPr>
          <w:rFonts w:ascii="宋体" w:hAnsi="宋体" w:eastAsia="宋体"/>
          <w:b w:val="0"/>
          <w:sz w:val="24"/>
        </w:rPr>
        <w:t>附录A 开源及第三方资源使用清单</w:t>
      </w:r>
    </w:p>
    <w:p>
      <w:pPr>
        <w:spacing w:after="80"/>
        <w:ind w:left="397"/>
      </w:pPr>
      <w:r>
        <w:rPr>
          <w:rFonts w:ascii="宋体" w:hAnsi="宋体" w:eastAsia="宋体"/>
          <w:b w:val="0"/>
          <w:sz w:val="24"/>
        </w:rPr>
        <w:t>附录B AI工具使用与人工复核说明</w:t>
      </w:r>
    </w:p>
    <w:p>
      <w:r>
        <w:br w:type="page"/>
      </w:r>
    </w:p>
    <w:p>
      <w:pPr>
        <w:pStyle w:val="Heading1"/>
      </w:pPr>
      <w:r>
        <w:t>作品简介</w:t>
      </w:r>
    </w:p>
    <w:p>
      <w:pPr>
        <w:ind w:firstLine="420"/>
      </w:pPr>
      <w:r>
        <w:t>科研代码的普通审查关注语法、风格和安全，却难以判断参数、数据流程或评价方式变更是否破坏论文复现条件。ReproGuard面向开放科研仓库，在GitHub Pull Request阶段读取代码差异，对照论文、实验协议或复现档案，以确定性规则为权威，并允许来源受限的开源模型辅助，生成带代码行号、论文位置、风险类型和人工复核状态的结构化意见。项目回放真实PyTorch-UNet历史PR，提示3项待复核的评价流程风险；同时在U-Net公开项目上完成6条核心规则的人工标注、失败分析和规则改进。成果包括GitHub Action、命令行与网页原型、开放Schema、评测脚本、测试用例及合规文档。</w:t>
      </w:r>
    </w:p>
    <w:p>
      <w:pPr>
        <w:pStyle w:val="Heading1"/>
      </w:pPr>
      <w:r>
        <w:t>一、项目概述</w:t>
      </w:r>
    </w:p>
    <w:p>
      <w:pPr>
        <w:pStyle w:val="Heading2"/>
      </w:pPr>
      <w:r>
        <w:t>（一）项目背景与意义</w:t>
      </w:r>
    </w:p>
    <w:p>
      <w:pPr>
        <w:ind w:firstLine="420"/>
      </w:pPr>
      <w:r>
        <w:t>论文代码仓库会在发表后持续通过Pull Request演进。普通代码审查、安全扫描和依赖告警并不专门回答：代码变更后，论文或实验协议中的关键复现条件是否仍然成立。ReproGuard把这一问题前移到开源协作阶段，为研究者、复现者和社区维护者提供可追溯的复核清单。</w:t>
      </w:r>
    </w:p>
    <w:p>
      <w:pPr>
        <w:pStyle w:val="Heading3"/>
      </w:pPr>
      <w:r>
        <w:t>1. 目标用户与真实问题</w:t>
      </w:r>
    </w:p>
    <w:p>
      <w:pPr>
        <w:ind w:left="420" w:hanging="283"/>
      </w:pPr>
      <w:r>
        <w:t>• 维护论文代码仓库的研究者</w:t>
      </w:r>
    </w:p>
    <w:p>
      <w:pPr>
        <w:ind w:left="420" w:hanging="283"/>
      </w:pPr>
      <w:r>
        <w:t>• 第一次参与论文复现的本科生和研究生</w:t>
      </w:r>
    </w:p>
    <w:p>
      <w:pPr>
        <w:ind w:left="420" w:hanging="283"/>
      </w:pPr>
      <w:r>
        <w:t>• 需要维护实验规范的学生课题组</w:t>
      </w:r>
    </w:p>
    <w:p>
      <w:pPr>
        <w:ind w:left="420" w:hanging="283"/>
      </w:pPr>
      <w:r>
        <w:t>• 审核开源科研贡献的社区维护者</w:t>
      </w:r>
    </w:p>
    <w:p>
      <w:pPr>
        <w:pStyle w:val="Heading3"/>
      </w:pPr>
      <w:r>
        <w:t>2. 场景价值</w:t>
      </w:r>
    </w:p>
    <w:p>
      <w:pPr>
        <w:ind w:firstLine="420"/>
      </w:pPr>
      <w:r>
        <w:t>系统识别批大小、学习率、随机种子、数据处理、评价流程、依赖和许可披露等变化，并把代码行号、论文位置、风险说明和人工复核状态放在同一份结构化报告中。</w:t>
      </w:r>
    </w:p>
    <w:p>
      <w:pPr>
        <w:pStyle w:val="Heading2"/>
      </w:pPr>
      <w:r>
        <w:t>（二）赛题方向定位</w:t>
      </w:r>
    </w:p>
    <w:p>
      <w:pPr>
        <w:ind w:firstLine="420"/>
      </w:pPr>
      <w:r>
        <w:t>本作品建议申报（二）AI开发工具与开源协作。作品直接作用于开放科研仓库的Pull Request协作环节，形态为GitHub复合Action、命令行工具和结构化工作流；开源模型用于受限的科研语义辅助，规则引擎、来源白名单、Schema、评测脚本和Action流程由团队自主实现。</w:t>
      </w:r>
    </w:p>
    <w:p>
      <w:pPr>
        <w:pStyle w:val="Heading1"/>
      </w:pPr>
      <w:r>
        <w:t>二、技术方案与实现</w:t>
      </w:r>
    </w:p>
    <w:p>
      <w:pPr>
        <w:pStyle w:val="Heading2"/>
      </w:pPr>
      <w:r>
        <w:t>（一）总体方案</w:t>
      </w:r>
    </w:p>
    <w:p>
      <w:pPr>
        <w:ind w:firstLine="420"/>
      </w:pPr>
      <w:r>
        <w:t>系统读取PR unified diff和可选的论文、实验协议或复现档案，经过证据解析、确定性规则、模型辅助和约束校验后，输出GitHub warning、Job Summary、PR评论以及JSON/Markdown报告。规则是权威，模型不能覆盖规则结论。</w:t>
      </w:r>
    </w:p>
    <w:p>
      <w:pPr>
        <w:pStyle w:val="Heading2"/>
      </w:pPr>
      <w:r>
        <w:t>（二）AI与开源融合</w:t>
      </w:r>
    </w:p>
    <w:p>
      <w:pPr>
        <w:ind w:firstLine="420"/>
      </w:pPr>
      <w:r>
        <w:t>确定性规则负责参数、随机性、依赖、数据和评价流程变化；开源模型负责非结构化实验步骤抽取、同义概念归一和科研语义提示。模型只能引用系统提供的D###或P###来源编号，无效引用会被丢弃；服务不可用时，规则模式仍可离线运行。项目使用Python标准库、pypdf、GitHub Actions/REST API、Ollama和可选开放模型等资源，许可与自主开发边界见附录A。</w:t>
      </w:r>
    </w:p>
    <w:p>
      <w:pPr>
        <w:pStyle w:val="Heading2"/>
      </w:pPr>
      <w:r>
        <w:t>（三）真实案例与效果验证</w:t>
      </w:r>
    </w:p>
    <w:p>
      <w:pPr>
        <w:ind w:firstLine="420"/>
      </w:pPr>
      <w:r>
        <w:t>真实PyTorch-UNet PR #141回放产生3项高风险人工复核点：评价归一化分母变化、评价流程变化以及drop_last=True导致的验证样本范围变化。系统不直接判定上游修改错误，而是要求维护者核对论文、测试和结果是否同步。</w:t>
      </w:r>
    </w:p>
    <w:p>
      <w:pPr>
        <w:ind w:firstLine="420"/>
      </w:pPr>
      <w:r>
        <w:t>U-Net公开项目六条核心规则人工评测中，基线与人工一致3/6；针对文档完整性、数据获取语境和许可边界改进规则后，同组复测6/6。该样本全部为缺口正类，不能代表整体准确率或跨项目泛化能力。项目另有154项自动化测试全部通过，并完成一次DeepSeek真实调用与逐项人工复核。</w:t>
      </w:r>
    </w:p>
    <w:p>
      <w:pPr>
        <w:pStyle w:val="Heading2"/>
      </w:pPr>
      <w:r>
        <w:t>（四）开放成果与局限</w:t>
      </w:r>
    </w:p>
    <w:p>
      <w:pPr>
        <w:ind w:left="420" w:hanging="283"/>
      </w:pPr>
      <w:r>
        <w:t>• GitHub复合Action、命令行工具和网页原型</w:t>
      </w:r>
    </w:p>
    <w:p>
      <w:pPr>
        <w:ind w:left="420" w:hanging="283"/>
      </w:pPr>
      <w:r>
        <w:t>• JSON/Markdown报告格式与跨学科复现档案Schema</w:t>
      </w:r>
    </w:p>
    <w:p>
      <w:pPr>
        <w:ind w:left="420" w:hanging="283"/>
      </w:pPr>
      <w:r>
        <w:t>• 评测脚本、人工标签、真实案例和失败分析</w:t>
      </w:r>
    </w:p>
    <w:p>
      <w:pPr>
        <w:ind w:left="420" w:hanging="283"/>
      </w:pPr>
      <w:r>
        <w:t>• 使用说明、竞品对比、资源清单和发布检查表</w:t>
      </w:r>
    </w:p>
    <w:p>
      <w:pPr>
        <w:ind w:firstLine="420"/>
      </w:pPr>
      <w:r>
        <w:t>当前局限包括真实人工评测样本较小、缺少正常负类；公开仓库 v1 标签与跨仓库调用已完成验证。跨学科支持当前主要覆盖参数 Schema 和数字材料审查，湿实验事实仍需研究者确认。</w:t>
      </w:r>
    </w:p>
    <w:p>
      <w:pPr>
        <w:pStyle w:val="Heading2"/>
      </w:pPr>
      <w:r>
        <w:t>关键实现片段</w:t>
      </w:r>
    </w:p>
    <w:p>
      <w:pPr>
        <w:ind w:firstLine="420"/>
      </w:pPr>
      <w:r>
        <w:t>报告仅列出能够说明自主实现边界的短代码片段；完整源码、测试用例和 Action 配置已放在 GitHub 仓库。</w:t>
      </w:r>
    </w:p>
    <w:p>
      <w:pPr>
        <w:pStyle w:val="Heading3"/>
      </w:pPr>
      <w:r>
        <w:t>Action 接入方式</w:t>
      </w:r>
    </w:p>
    <w:p>
      <w:pPr>
        <w:spacing w:after="120"/>
        <w:ind w:left="283" w:right="283"/>
      </w:pPr>
      <w:r>
        <w:rPr>
          <w:rFonts w:ascii="Consolas" w:hAnsi="Consolas" w:eastAsia="Consolas"/>
          <w:color w:val="282828"/>
          <w:sz w:val="18"/>
        </w:rPr>
        <w:t>uses: hm10629/reproguard@v1</w:t>
        <w:br/>
        <w:t>with:</w:t>
        <w:br/>
        <w:t xml:space="preserve">  constraints: docs/experiment-protocol.md</w:t>
        <w:br/>
        <w:t xml:space="preserve">  output: reproguard-report</w:t>
      </w:r>
    </w:p>
    <w:p>
      <w:pPr>
        <w:pStyle w:val="Heading3"/>
      </w:pPr>
      <w:r>
        <w:t>PR001 风险识别逻辑（简化）</w:t>
      </w:r>
    </w:p>
    <w:p>
      <w:pPr>
        <w:spacing w:after="120"/>
        <w:ind w:left="283" w:right="283"/>
      </w:pPr>
      <w:r>
        <w:rPr>
          <w:rFonts w:ascii="Consolas" w:hAnsi="Consolas" w:eastAsia="Consolas"/>
          <w:color w:val="282828"/>
          <w:sz w:val="18"/>
        </w:rPr>
        <w:t>for change in diff.changes:</w:t>
        <w:br/>
        <w:t xml:space="preserve">  if change.name in SCIENTIFIC_PARAMETERS:</w:t>
        <w:br/>
        <w:t xml:space="preserve">    risk = compare_with_constraints(change, protocol)</w:t>
        <w:br/>
        <w:t xml:space="preserve">    emit_risk(rule=change.rule_id, location=change.location,</w:t>
        <w:br/>
        <w:t xml:space="preserve">              status="needs_review", evidence=risk.evidence)</w:t>
      </w:r>
    </w:p>
    <w:p>
      <w:pPr>
        <w:pStyle w:val="Heading3"/>
      </w:pPr>
      <w:r>
        <w:t>结构化输出示例</w:t>
      </w:r>
    </w:p>
    <w:p>
      <w:pPr>
        <w:spacing w:after="120"/>
        <w:ind w:left="283" w:right="283"/>
      </w:pPr>
      <w:r>
        <w:rPr>
          <w:rFonts w:ascii="Consolas" w:hAnsi="Consolas" w:eastAsia="Consolas"/>
          <w:color w:val="282828"/>
          <w:sz w:val="18"/>
        </w:rPr>
        <w:t>{</w:t>
        <w:br/>
        <w:t xml:space="preserve">  "rule": "PR001", "risk": "medium",</w:t>
        <w:br/>
        <w:t xml:space="preserve">  "location": "train.py:3",</w:t>
        <w:br/>
        <w:t xml:space="preserve">  "evidence": "experiment-protocol.md#training",</w:t>
        <w:br/>
        <w:t xml:space="preserve">  "status": "needs_review"</w:t>
        <w:br/>
        <w:t>}</w:t>
      </w:r>
    </w:p>
    <w:p>
      <w:r>
        <w:br w:type="page"/>
      </w:r>
    </w:p>
    <w:p>
      <w:pPr>
        <w:pStyle w:val="Heading1"/>
      </w:pPr>
      <w:r>
        <w:t>三、附录</w:t>
      </w:r>
    </w:p>
    <w:p>
      <w:pPr>
        <w:pStyle w:val="Heading2"/>
      </w:pPr>
      <w:r>
        <w:t>附录A 开源及第三方资源使用清单</w:t>
      </w:r>
    </w:p>
    <w:p>
      <w:pPr/>
      <w:r>
        <w:t>版本：2026-10-22。正式提交前请人工核对实际发布版本、团队署名和模型调用记录。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资源名称及类型</w:t>
            </w:r>
          </w:p>
        </w:tc>
        <w:tc>
          <w:tcPr>
            <w:tcW w:type="dxa" w:w="1263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版本/来源</w:t>
            </w:r>
          </w:p>
        </w:tc>
        <w:tc>
          <w:tcPr>
            <w:tcW w:type="dxa" w:w="1263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许可证或授权</w:t>
            </w:r>
          </w:p>
        </w:tc>
        <w:tc>
          <w:tcPr>
            <w:tcW w:type="dxa" w:w="1263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使用方式</w:t>
            </w:r>
          </w:p>
        </w:tc>
        <w:tc>
          <w:tcPr>
            <w:tcW w:type="dxa" w:w="1263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关键义务或限制</w:t>
            </w:r>
          </w:p>
        </w:tc>
        <w:tc>
          <w:tcPr>
            <w:tcW w:type="dxa" w:w="1263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自主开发边界</w:t>
            </w:r>
          </w:p>
        </w:tc>
        <w:tc>
          <w:tcPr>
            <w:tcW w:type="dxa" w:w="1263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合规状态与开放方式</w:t>
            </w:r>
          </w:p>
        </w:tc>
      </w:tr>
      <w:tr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Python 3 标准库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Python 3.13 验证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PSF License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CLI、HTTP 服务、JSON、测试和网络适配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遵守适用许可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业务规则、数据结构、报告和交互均为团队实现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已核验；源码随项目 MIT 发布</w:t>
            </w:r>
          </w:p>
        </w:tc>
      </w:tr>
      <w:tr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pypdf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6.21.2，PyPI `pypdf`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BSD-3-Clause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读取 PDF 并提取逐页文本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保留版权与许可声明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未修改其源码；仅通过公开 API 调用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已核验；依赖不随仓库打包，由用户安装</w:t>
            </w:r>
          </w:p>
        </w:tc>
      </w:tr>
      <w:tr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GitHub Actions / REST API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GitHub 官方服务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受 GitHub 服务条款约束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下载 PR diff、发布单条审查评论和 Job Summary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仓库令牌仅在 Action 运行时使用，不写入报告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Action 入口、diff 解析和评论更新逻辑为团队实现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已实现；远程仓库发布后在线验证</w:t>
            </w:r>
          </w:p>
        </w:tc>
      </w:tr>
      <w:tr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DeepSeek API（已实测）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OpenAI兼容接口；实际模型参数为`deepseek-chat`；服务端具体版本未返回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受DeepSeek服务条款和模型政策约束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从自造公开样例抽取研究主张、复现步骤与缺失信息；密钥仅从环境变量读取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未公开材料发送云端前必须人工确认；不得公开密钥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适配器、提示协议、来源白名单、结构校验和人工复核流程为团队实现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2026-10-22真实调用状态为`ok`；处理后输出和沈智和签署的复核记录已保存</w:t>
            </w:r>
          </w:p>
        </w:tc>
      </w:tr>
      <w:tr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Ollama（可选）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用户本机自行安装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依 Ollama 及所选模型许可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本地模型推理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项目不捆绑、不分发模型权重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模型提示协议和结果校验为团队实现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接口已实现；当前机器未安装</w:t>
            </w:r>
          </w:p>
        </w:tc>
      </w:tr>
      <w:tr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jaxony/unet-pytorch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commit `2bb0e44a…`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MIT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真实评测的本地只读代码快照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公开引用来源与许可证；不重新分发本地快照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人工标注、规则、评测脚本和结果为团队完成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源码快照由 `.gitignore` 排除，仅公开来源与标注</w:t>
            </w:r>
          </w:p>
        </w:tc>
      </w:tr>
      <w:tr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U-Net 论文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arXiv:1505.04597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论文版权归原作者/发布方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本地 PDF 文本解析与规则评测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不在本项目仓库重新分发 PDF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标注与检测规则为团队完成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PDF 由 `.gitignore` 排除，仅公开论文链接</w:t>
            </w:r>
          </w:p>
        </w:tc>
      </w:tr>
      <w:tr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milesial/Pytorch-UNet PR #141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GitHub PR #141；上游 GPL-3.0 仓库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上游代码 GPL-3.0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真实历史 PR 回放与失败分析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不把上游代码误标为本项目 MIT 内容；不提交完整 diff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风险规则、回放报告与人工复核为团队完成</w:t>
            </w:r>
          </w:p>
        </w:tc>
        <w:tc>
          <w:tcPr>
            <w:tcW w:type="dxa" w:w="12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公开 URL、commit 和 diff 哈希；完整 diff 不入库</w:t>
            </w:r>
          </w:p>
        </w:tc>
      </w:tr>
    </w:tbl>
    <w:p>
      <w:pPr>
        <w:pStyle w:val="Heading2"/>
      </w:pPr>
      <w:r>
        <w:t>附录B AI工具使用与人工复核说明</w:t>
      </w:r>
    </w:p>
    <w:p>
      <w:pPr>
        <w:ind w:firstLine="420"/>
      </w:pPr>
      <w:r>
        <w:t>开发过程中使用生成式AI辅助需求梳理、代码草拟、测试、文档和报告整理。团队对纳入项目的代码、标注、报告和结论进行人工复核，真实人工标签与AI输出分开保存。</w:t>
      </w:r>
    </w:p>
    <w:p>
      <w:pPr>
        <w:ind w:firstLine="420"/>
      </w:pPr>
      <w:r>
        <w:t>AI建议不自动覆盖确定性规则结论；模型生成的科研主张默认标记为待人工复核。DeepSeek真实调用的处理后输出、来源核对和签名确认记录均已保存。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701" w:bottom="1417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646464"/>
        <w:sz w:val="18"/>
      </w:rPr>
      <w:t>ReproGuard复现守门人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color w:val="646464"/>
        <w:sz w:val="18"/>
      </w:rPr>
      <w:t>2026年第八届全球校园人工智能算法精英大赛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