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11 Logbook</w:t>
      </w:r>
    </w:p>
    <w:p>
      <w:pPr>
        <w:jc w:val="center"/>
      </w:pPr>
      <w:r>
        <w:rPr>
          <w:i/>
        </w:rPr>
        <w:t>29 March 2026 - 4 April 2026</w:t>
      </w:r>
    </w:p>
    <w:p>
      <w:pPr>
        <w:pStyle w:val="Heading1"/>
      </w:pPr>
      <w:r>
        <w:t>1. Summary</w:t>
      </w:r>
    </w:p>
    <w:p>
      <w:r>
        <w:t>Week 11 combined hardware reassembly, integration discussion, and backend consolidation. The 3D hardware structure was completed in Autodesk Fusion, the returned board was soldered again, and hardware tests were rerun. The earlier speaker disconnection did not reappear after the speaker path was moved to a non-conflicting GPIO. I also discussed frontend-backend integration with a teammate and aligned backend APIs with the frontend files. The main blocker was microphone input failure during testing.</w:t>
      </w:r>
    </w:p>
    <w:p>
      <w:pPr>
        <w:pStyle w:val="Heading1"/>
      </w:pPr>
      <w:r>
        <w:t>2. Tasks Completed</w:t>
      </w:r>
    </w:p>
    <w:p>
      <w:r>
        <w:t>This week, the hardware enclosure design was completed in Autodesk Fusion. I also soldered components onto the returned board and reran hardware tests. A key result was that the original speaker no longer showed the earlier disconnection problem after the GPIO change, confirming that the issue came from pin conflict rather than the speaker itself. On the software side, I reviewed the frontend files, discussed frontend-backend integration with a teammate, and completed the backend APIs needed for frontend calls. Settings, task, event, notification, reminder, and device-command support were added, WebSocket events were extended, the interface document was updated, and the changelog recorded 37 backend tests passing.</w:t>
      </w:r>
    </w:p>
    <w:p>
      <w:pPr>
        <w:pStyle w:val="Heading1"/>
      </w:pPr>
      <w:r>
        <w:t>3. Tasks in Progress</w:t>
      </w:r>
    </w:p>
    <w:p>
      <w:r>
        <w:t>The main task still in progress is microphone recovery. During testing, no audio input was received, so the microphone did not pass validation. The most likely cause is damage from hot-air rework during soldering. Because this microphone model appears to be discontinued and expensive, a replacement has already been purchased. The next task is to solder the new microphone, rerun the audio tests, and confirm that the MVP can run end to end. Expected completion is targeted for the week ending 11 April 2026.</w:t>
      </w:r>
    </w:p>
    <w:p>
      <w:pPr>
        <w:pStyle w:val="Heading1"/>
      </w:pPr>
      <w:r>
        <w:t>4. Upcoming Tasks</w:t>
      </w:r>
    </w:p>
    <w:p>
      <w:r>
        <w:t>Next week, the priority is to solder the replacement microphone, repeat microphone and speaker tests, and confirm that the MVP works reliably on the rebuilt board. After MVP confirmation, the focus can shift from stabilization to feature implementation, since the backend is already in a solid state.</w:t>
      </w:r>
    </w:p>
    <w:p>
      <w:pPr>
        <w:pStyle w:val="Heading1"/>
      </w:pPr>
      <w:r>
        <w:t>5. Challenges and Resolutions</w:t>
      </w:r>
    </w:p>
    <w:p>
      <w:r>
        <w:t>One challenge was the earlier speaker instability. The resolution was to move the speaker path to a different GPIO so it no longer conflicted with other signals. This week’s retest showed that the speaker stayed connected, which verified the fix. A new challenge then appeared: the microphone likely failed after hot-air rework, so no input audio was detected. The response was to stop testing the damaged part, buy a replacement microphone, and plan a clean resolder and retest cycle.</w:t>
      </w:r>
    </w:p>
    <w:p>
      <w:pPr>
        <w:pStyle w:val="Heading1"/>
      </w:pPr>
      <w:r>
        <w:t>6. Insights and Reflections</w:t>
      </w:r>
    </w:p>
    <w:p>
      <w:r>
        <w:t>The clearest lesson this week is that hardware faults can come from system-level conflicts, not only from broken parts. The speaker problem looked like a hardware defect at first, but the real cause was GPIO conflict. Another lesson is that component handling and part selection need more discipline. I should not rely on AI recommendations alone for critical parts; availability, lifecycle status, and replacement cost should be checked first. I also need to be more careful with hot-air work on sensitive parts. A positive takeaway is that direct discussion with the frontend side made the backend API work more concrete and ready for the next stage.</w:t>
      </w:r>
    </w:p>
    <w:p>
      <w:pPr>
        <w:pStyle w:val="Heading1"/>
      </w:pPr>
      <w:r>
        <w:t>7. Next Steps</w:t>
      </w:r>
    </w:p>
    <w:p>
      <w:r>
        <w:t>The next steps are to solder the replacement microphone, rerun the audio test sequence, confirm MVP readiness, and then begin feature development on top of the stable backend. Target progress is set for 11 April 2026, and responsibility remains with the current project developer.</w:t>
      </w:r>
    </w:p>
    <w:p>
      <w:pPr>
        <w:pStyle w:val="Heading1"/>
      </w:pPr>
      <w:r>
        <w:t>8. Additional Notes</w:t>
      </w:r>
    </w:p>
    <w:p>
      <w:r>
        <w:t>Future logbook entries should keep recording test outcomes, hardware changes, interface decisions, and component choices. These notes should also support supervisor discussions on the confirmed GPIO fix, the microphone replacement issue, and the move from MVP stabilization into feature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