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1)NET SALES</w:t>
      </w:r>
    </w:p>
    <w:p w:rsidR="00000000" w:rsidDel="00000000" w:rsidP="00000000" w:rsidRDefault="00000000" w:rsidRPr="00000000" w14:paraId="00000003">
      <w:pPr>
        <w:rPr/>
      </w:pPr>
      <w:r w:rsidDel="00000000" w:rsidR="00000000" w:rsidRPr="00000000">
        <w:rPr>
          <w:rtl w:val="0"/>
        </w:rPr>
        <w:t xml:space="preserve">   </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3.2564601278132"/>
        <w:gridCol w:w="892.0477910530702"/>
        <w:gridCol w:w="837.4326201722702"/>
        <w:gridCol w:w="837.4326201722702"/>
        <w:gridCol w:w="837.4326201722702"/>
        <w:gridCol w:w="837.4326201722702"/>
        <w:gridCol w:w="837.4326201722702"/>
        <w:gridCol w:w="837.4326201722702"/>
        <w:gridCol w:w="837.4326201722702"/>
        <w:gridCol w:w="837.4326201722702"/>
        <w:gridCol w:w="845.2347874409559"/>
        <w:tblGridChange w:id="0">
          <w:tblGrid>
            <w:gridCol w:w="923.2564601278132"/>
            <w:gridCol w:w="892.0477910530702"/>
            <w:gridCol w:w="837.4326201722702"/>
            <w:gridCol w:w="837.4326201722702"/>
            <w:gridCol w:w="837.4326201722702"/>
            <w:gridCol w:w="837.4326201722702"/>
            <w:gridCol w:w="837.4326201722702"/>
            <w:gridCol w:w="837.4326201722702"/>
            <w:gridCol w:w="837.4326201722702"/>
            <w:gridCol w:w="837.4326201722702"/>
            <w:gridCol w:w="845.2347874409559"/>
          </w:tblGrid>
        </w:tblGridChange>
      </w:tblGrid>
      <w:tr>
        <w:trPr>
          <w:cantSplit w:val="0"/>
          <w:trHeight w:val="107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Company</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(2023)</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6">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(2022)</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(2021)</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8">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(2020)</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(2019)</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(2018)</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(2017)</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(2016)</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D">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(2015)</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0E">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Sales (2014)</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BMW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₹6,016.78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₹4,351.80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₹2,807.14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₹3,430.55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₹3,750.99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₹3,311.88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₹2,802.51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₹2,279.74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₹2,170.18</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1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₹1,797.28</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Ford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₹7,078.83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₹10,201.68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₹12,056.84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₹20,189.79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₹24,201.62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₹21,440.97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₹16,005.81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₹14,604.70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₹11,835.54</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₹8,636.31</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Hyundai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₹59,761.45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₹47,042.79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₹40,674.01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₹42,978.63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₹43,258.09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₹40,601.89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₹41,075.21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₹36,154.94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₹29,464.43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2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₹27,647.27</w:t>
            </w:r>
          </w:p>
        </w:tc>
      </w:tr>
      <w:tr>
        <w:trPr>
          <w:cantSplit w:val="0"/>
          <w:trHeight w:val="177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Mahindra and Mahindra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₹84,960.26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₹57,786.94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₹44,629.87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₹45,487.78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₹53,614.00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₹49,444.99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₹47,383.74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₹43,638.90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₹40,632.52</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₹43,120.18</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Maruti Suzuki India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₹117,522.90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₹88,295.60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₹70,332.50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₹75,610.60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₹86,020.30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₹81,994.40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₹77,266.20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₹65,054.60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₹55,133.60</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4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₹48,824.30</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Renault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₹8,492.54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₹7,343.03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₹5,737.40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₹6,508.12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₹5,826.88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₹6,904.37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₹7,722.15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₹5,695.46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₹5,959.88</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₹7,540.08</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Skoda Volkswagen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₹17,041.72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₹12,410.48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₹6,788.97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₹9,300.06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₹11,238.31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₹8,893.43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₹9,325.40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₹7,821.82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₹8,040.39</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5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₹6,759.61</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Tata Motors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₹65,757.33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₹47,263.68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₹30,175.03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₹43,928.17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₹69,202.76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₹58,689.81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₹49,054.49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₹47,383.61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₹39,531.23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₹37,758.00</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Industry Benchmark</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₹53,728.74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₹46,604.38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₹38,340.24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₹42,067.79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₹47,682.50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₹45,680.22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₹44,065.03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₹40,579.53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₹35,188.04</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₹32,640.58</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BMW India:</w:t>
      </w:r>
    </w:p>
    <w:p w:rsidR="00000000" w:rsidDel="00000000" w:rsidP="00000000" w:rsidRDefault="00000000" w:rsidRPr="00000000" w14:paraId="00000074">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BMW India's net sales were consistently below the industry benchmark throughout the 10-year period. This indicates ongoing challenges or difficulties in achieving sales performance that aligns with industry standards.</w:t>
      </w:r>
    </w:p>
    <w:p w:rsidR="00000000" w:rsidDel="00000000" w:rsidP="00000000" w:rsidRDefault="00000000" w:rsidRPr="00000000" w14:paraId="0000007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Ford India:</w:t>
      </w:r>
    </w:p>
    <w:p w:rsidR="00000000" w:rsidDel="00000000" w:rsidP="00000000" w:rsidRDefault="00000000" w:rsidRPr="00000000" w14:paraId="00000076">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Ford India's net sales were generally below the industry benchmark in most years, indicating potential struggles to meet industry standards for sales performance.</w:t>
      </w:r>
    </w:p>
    <w:p w:rsidR="00000000" w:rsidDel="00000000" w:rsidP="00000000" w:rsidRDefault="00000000" w:rsidRPr="00000000" w14:paraId="0000007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Hyundai India:</w:t>
      </w:r>
    </w:p>
    <w:p w:rsidR="00000000" w:rsidDel="00000000" w:rsidP="00000000" w:rsidRDefault="00000000" w:rsidRPr="00000000" w14:paraId="00000078">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Hyundai India's net sales consistently exceeded the industry benchmark, demonstrating strong and consistent performance compared to industry standards over the 10-year period.</w:t>
      </w:r>
    </w:p>
    <w:p w:rsidR="00000000" w:rsidDel="00000000" w:rsidP="00000000" w:rsidRDefault="00000000" w:rsidRPr="00000000" w14:paraId="0000007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Mahindra and Mahindra Ltd.:</w:t>
      </w:r>
    </w:p>
    <w:p w:rsidR="00000000" w:rsidDel="00000000" w:rsidP="00000000" w:rsidRDefault="00000000" w:rsidRPr="00000000" w14:paraId="0000007A">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Mahindra and Mahindra Ltd.'s net sales generally surpassed the industry benchmark, indicating strong market performance and competitiveness throughout the 10-year period.</w:t>
      </w:r>
    </w:p>
    <w:p w:rsidR="00000000" w:rsidDel="00000000" w:rsidP="00000000" w:rsidRDefault="00000000" w:rsidRPr="00000000" w14:paraId="0000007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Maruti Suzuki India Ltd:</w:t>
      </w:r>
    </w:p>
    <w:p w:rsidR="00000000" w:rsidDel="00000000" w:rsidP="00000000" w:rsidRDefault="00000000" w:rsidRPr="00000000" w14:paraId="0000007C">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Maruti Suzuki India Ltd.'s net sales consistently exceeded the industry benchmark, showcasing robust market presence and effective sales strategies over the 10-year period.</w:t>
      </w:r>
    </w:p>
    <w:p w:rsidR="00000000" w:rsidDel="00000000" w:rsidP="00000000" w:rsidRDefault="00000000" w:rsidRPr="00000000" w14:paraId="0000007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Renault India:</w:t>
      </w:r>
    </w:p>
    <w:p w:rsidR="00000000" w:rsidDel="00000000" w:rsidP="00000000" w:rsidRDefault="00000000" w:rsidRPr="00000000" w14:paraId="0000007E">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Renault India's net sales fluctuated over the years but generally remained below the industry benchmark, suggesting challenges or inconsistencies in meeting industry standards for sales performance.</w:t>
      </w:r>
    </w:p>
    <w:p w:rsidR="00000000" w:rsidDel="00000000" w:rsidP="00000000" w:rsidRDefault="00000000" w:rsidRPr="00000000" w14:paraId="0000007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Skoda Volkswagen India:</w:t>
      </w:r>
    </w:p>
    <w:p w:rsidR="00000000" w:rsidDel="00000000" w:rsidP="00000000" w:rsidRDefault="00000000" w:rsidRPr="00000000" w14:paraId="00000080">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Skoda Volkswagen India's net sales were typically below the industry benchmark, indicating potential areas for improvement or optimization in their market strategies over the 10-year period.</w:t>
      </w:r>
    </w:p>
    <w:p w:rsidR="00000000" w:rsidDel="00000000" w:rsidP="00000000" w:rsidRDefault="00000000" w:rsidRPr="00000000" w14:paraId="0000008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Tata Motors India:</w:t>
      </w:r>
    </w:p>
    <w:p w:rsidR="00000000" w:rsidDel="00000000" w:rsidP="00000000" w:rsidRDefault="00000000" w:rsidRPr="00000000" w14:paraId="00000082">
      <w:pPr>
        <w:numPr>
          <w:ilvl w:val="1"/>
          <w:numId w:val="4"/>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Tata Motors India's net sales varied over the years but generally exceeded the industry benchmark, demonstrating strong market performance and competitiveness compared to industry standards throughout the 10-year period.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t xml:space="preserve">2)</w:t>
      </w:r>
      <w:r w:rsidDel="00000000" w:rsidR="00000000" w:rsidRPr="00000000">
        <w:rPr>
          <w:b w:val="1"/>
          <w:rtl w:val="0"/>
        </w:rPr>
        <w:t xml:space="preserve">TOTAL INCOME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1058495821728"/>
        <w:gridCol w:w="894.2841225626742"/>
        <w:gridCol w:w="839.532033426184"/>
        <w:gridCol w:w="839.532033426184"/>
        <w:gridCol w:w="839.532033426184"/>
        <w:gridCol w:w="839.532033426184"/>
        <w:gridCol w:w="839.532033426184"/>
        <w:gridCol w:w="839.532033426184"/>
        <w:gridCol w:w="839.532033426184"/>
        <w:gridCol w:w="839.532033426184"/>
        <w:gridCol w:w="847.3537604456826"/>
        <w:tblGridChange w:id="0">
          <w:tblGrid>
            <w:gridCol w:w="902.1058495821728"/>
            <w:gridCol w:w="894.2841225626742"/>
            <w:gridCol w:w="839.532033426184"/>
            <w:gridCol w:w="839.532033426184"/>
            <w:gridCol w:w="839.532033426184"/>
            <w:gridCol w:w="839.532033426184"/>
            <w:gridCol w:w="839.532033426184"/>
            <w:gridCol w:w="839.532033426184"/>
            <w:gridCol w:w="839.532033426184"/>
            <w:gridCol w:w="839.532033426184"/>
            <w:gridCol w:w="847.3537604456826"/>
          </w:tblGrid>
        </w:tblGridChange>
      </w:tblGrid>
      <w:tr>
        <w:trPr>
          <w:cantSplit w:val="0"/>
          <w:trHeight w:val="143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Company</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(2023)</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(2022)</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D">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(2021)</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E">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(2020)</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F">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(2019)</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0">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(2018)</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(2017)</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2">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(2016)</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(2015)</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9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Income (2014)</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BMW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₹6,533.67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₹4,200.81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₹2,744.74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₹3,599.34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₹3,827.25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₹3,275.89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₹3,123.48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₹3,051.25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₹1,884.04</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₹1,883.97</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Ford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₹9,689.65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₹14,449.63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₹13,433.12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₹23,876.64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₹28,158.96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₹24,560.75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₹18,953.42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₹17,194.76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₹11,791.53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A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₹9,030.24</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Hyundai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₹61,015.12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₹47,685.81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₹40,996.19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₹43,631.93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₹43,944.45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₹39,995.46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₹35,961.65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₹32,418.53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₹27,449.84</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₹25,809.17</w:t>
            </w:r>
          </w:p>
        </w:tc>
      </w:tr>
      <w:tr>
        <w:trPr>
          <w:cantSplit w:val="0"/>
          <w:trHeight w:val="177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Mahindra and Mahindra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₹89,723.98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₹60,986.15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₹47,034.82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₹48,113.15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₹56,851.45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₹49,960.65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₹46,111.55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₹42,051.71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₹39,305.86</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₹41,553.95</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Maruti Suzuki India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₹120,087.90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₹90,181.00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₹73,005.80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₹79,269.50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₹88,370.50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₹81,767.50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₹70,715.00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₹58,992.20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₹51,258.10</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C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₹44,359.50</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Renault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₹9,009.69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₹7,326.10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₹5,512.79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₹7,072.14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₹5,967.54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₹7,523.35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₹7,820.66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₹5,760.95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₹5,759.65</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D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₹7,595.26</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Skoda Volkswagen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₹19,185.83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₹14,445.86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₹8,299.09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₹10,630.41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₹12,456.97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₹8,966.16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₹10,050.49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₹7,849.40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₹8,094.68</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E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₹7,298.77</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Tata Motors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₹66,093.58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₹48,817.59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₹31,204.57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₹44,661.57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₹71,945.68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₹59,546.96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₹45,549.54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₹44,237.73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₹39,061.86</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E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₹37,749.42</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Industry Benchmark</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₹54,167.43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₹36,011.62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₹28,778.76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₹35,991.84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₹38,185.35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₹34,207.09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₹34,910.97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₹31,869.57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₹23,950.70</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F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₹23,159.91</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BMW India:</w:t>
      </w:r>
    </w:p>
    <w:p w:rsidR="00000000" w:rsidDel="00000000" w:rsidP="00000000" w:rsidRDefault="00000000" w:rsidRPr="00000000" w14:paraId="000000FB">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BMW India's total income fluctuated over the years but generally remained below the industry benchmark. This suggests that BMW India faced challenges in consistently achieving industry-standard total income levels. The fluctuations in total income indicate potential market challenges or fluctuations in consumer demand.</w:t>
      </w:r>
    </w:p>
    <w:p w:rsidR="00000000" w:rsidDel="00000000" w:rsidP="00000000" w:rsidRDefault="00000000" w:rsidRPr="00000000" w14:paraId="000000F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Ford India:</w:t>
      </w:r>
    </w:p>
    <w:p w:rsidR="00000000" w:rsidDel="00000000" w:rsidP="00000000" w:rsidRDefault="00000000" w:rsidRPr="00000000" w14:paraId="000000FD">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Ford India's total income varied over the years but was generally above the industry benchmark. This indicates that Ford India performed relatively well compared to industry standards. The consistent performance above the benchmark suggests effective market strategies or strong consumer demand for Ford's products.</w:t>
      </w:r>
    </w:p>
    <w:p w:rsidR="00000000" w:rsidDel="00000000" w:rsidP="00000000" w:rsidRDefault="00000000" w:rsidRPr="00000000" w14:paraId="000000F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Hyundai India:</w:t>
      </w:r>
    </w:p>
    <w:p w:rsidR="00000000" w:rsidDel="00000000" w:rsidP="00000000" w:rsidRDefault="00000000" w:rsidRPr="00000000" w14:paraId="000000FF">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Hyundai India consistently showed total income figures above the industry benchmark. This indicates Hyundai's strong market presence and consistent outperformance compared to industry standards. It suggests that Hyundai's products are well-received in the market and that the company has effectively captured market share over the years.</w:t>
      </w:r>
    </w:p>
    <w:p w:rsidR="00000000" w:rsidDel="00000000" w:rsidP="00000000" w:rsidRDefault="00000000" w:rsidRPr="00000000" w14:paraId="0000010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Mahindra and Mahindra Ltd.:</w:t>
      </w:r>
    </w:p>
    <w:p w:rsidR="00000000" w:rsidDel="00000000" w:rsidP="00000000" w:rsidRDefault="00000000" w:rsidRPr="00000000" w14:paraId="00000101">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Mahindra and Mahindra Ltd. consistently exhibited total income figures above the industry benchmark. This indicates strong market performance and competitiveness. It suggests that Mahindra and Mahindra Ltd. has been successful in maintaining a strong financial position and meeting or exceeding industry standards consistently.</w:t>
      </w:r>
    </w:p>
    <w:p w:rsidR="00000000" w:rsidDel="00000000" w:rsidP="00000000" w:rsidRDefault="00000000" w:rsidRPr="00000000" w14:paraId="0000010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Maruti Suzuki India Ltd:</w:t>
      </w:r>
    </w:p>
    <w:p w:rsidR="00000000" w:rsidDel="00000000" w:rsidP="00000000" w:rsidRDefault="00000000" w:rsidRPr="00000000" w14:paraId="00000103">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Maruti Suzuki India Ltd. consistently exhibited total income figures above the industry benchmark. This highlights Maruti Suzuki's dominant market presence and strong financial performance. The company's ability to consistently surpass industry standards indicates effective market strategies and strong consumer demand for its products.</w:t>
      </w:r>
    </w:p>
    <w:p w:rsidR="00000000" w:rsidDel="00000000" w:rsidP="00000000" w:rsidRDefault="00000000" w:rsidRPr="00000000" w14:paraId="0000010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Renault India:</w:t>
      </w:r>
    </w:p>
    <w:p w:rsidR="00000000" w:rsidDel="00000000" w:rsidP="00000000" w:rsidRDefault="00000000" w:rsidRPr="00000000" w14:paraId="00000105">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Renault India's total income varied over the years but generally remained below the industry benchmark. This suggests that Renault India faced challenges in meeting industry standards for total income. The fluctuations in total income indicate potential market challenges or variations in consumer demand for Renault's offerings.</w:t>
      </w:r>
    </w:p>
    <w:p w:rsidR="00000000" w:rsidDel="00000000" w:rsidP="00000000" w:rsidRDefault="00000000" w:rsidRPr="00000000" w14:paraId="000001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Skoda Volkswagen India:</w:t>
      </w:r>
    </w:p>
    <w:p w:rsidR="00000000" w:rsidDel="00000000" w:rsidP="00000000" w:rsidRDefault="00000000" w:rsidRPr="00000000" w14:paraId="00000107">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Skoda Volkswagen India's total income fluctuated but generally remained below the industry benchmark. This indicates that Skoda Volkswagen India faced challenges in consistently achieving industry-standard total income levels. The fluctuations in total income suggest potential market challenges or variations in consumer demand for Skoda Volkswagen's products.</w:t>
      </w:r>
    </w:p>
    <w:p w:rsidR="00000000" w:rsidDel="00000000" w:rsidP="00000000" w:rsidRDefault="00000000" w:rsidRPr="00000000" w14:paraId="0000010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Tata Motors India:</w:t>
      </w:r>
    </w:p>
    <w:p w:rsidR="00000000" w:rsidDel="00000000" w:rsidP="00000000" w:rsidRDefault="00000000" w:rsidRPr="00000000" w14:paraId="00000109">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Tata Motors India's total income varied over the years but generally remained above the industry benchmark. This indicates that Tata Motors India performed relatively well compared to industry standards. The consistent performance above the benchmark suggests effective market strategies or strong consumer demand for Tata Motors' products.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3)Net Profit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3841536614646"/>
        <w:gridCol w:w="837.1188475390156"/>
        <w:gridCol w:w="837.1188475390156"/>
        <w:gridCol w:w="837.1188475390156"/>
        <w:gridCol w:w="837.1188475390156"/>
        <w:gridCol w:w="837.1188475390156"/>
        <w:gridCol w:w="837.1188475390156"/>
        <w:gridCol w:w="837.1188475390156"/>
        <w:gridCol w:w="837.1188475390156"/>
        <w:gridCol w:w="837.1188475390156"/>
        <w:gridCol w:w="845.5462184873949"/>
        <w:tblGridChange w:id="0">
          <w:tblGrid>
            <w:gridCol w:w="980.3841536614646"/>
            <w:gridCol w:w="837.1188475390156"/>
            <w:gridCol w:w="837.1188475390156"/>
            <w:gridCol w:w="837.1188475390156"/>
            <w:gridCol w:w="837.1188475390156"/>
            <w:gridCol w:w="837.1188475390156"/>
            <w:gridCol w:w="837.1188475390156"/>
            <w:gridCol w:w="837.1188475390156"/>
            <w:gridCol w:w="837.1188475390156"/>
            <w:gridCol w:w="837.1188475390156"/>
            <w:gridCol w:w="845.5462184873949"/>
          </w:tblGrid>
        </w:tblGridChange>
      </w:tblGrid>
      <w:tr>
        <w:trPr>
          <w:cantSplit w:val="0"/>
          <w:trHeight w:val="143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F">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Company</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0">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(2023)</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1">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(2022)</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2">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(2021)</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(2020)</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(2019)</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(2018)</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6">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(2017)</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(2016)</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8">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(2015)</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11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Net Profit (2014)</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BMW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₹205.07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₹60.06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-₹12.55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-₹49.34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₹116.22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-₹144.62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₹32.25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-₹49.13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2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₹107.21</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Ford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₹499.96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-₹4,229.07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-₹187.55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-₹5,432.26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₹211.46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₹525.45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-₹520.63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-₹594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-₹780.42</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2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-₹596.84</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Hyundai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₹4,653.85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₹2,861.77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₹1,847.16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₹2,355.00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₹2,581.73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₹2,124.17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₹1,972.92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₹1,302.55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₹1,035.04</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3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₹1,108.20</w:t>
            </w:r>
          </w:p>
        </w:tc>
      </w:tr>
      <w:tr>
        <w:trPr>
          <w:cantSplit w:val="0"/>
          <w:trHeight w:val="177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Mahindra and Mahindra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₹6,548.64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₹4,869.88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₹984.16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₹1,330.55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₹4,796.04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₹4,356.01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₹3,643.39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₹3,204.57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₹3,321.11</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4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₹3,758.35</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Maruti Suzuki India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₹8,049.20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₹3,766.30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₹4,229.70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₹5,650.60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₹7,500.60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₹7,721.80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₹7,350.20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₹5,364.30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₹3,711.20</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5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₹2,783.00</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Renault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₹403.86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₹332.16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-₹160.32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-₹1,135.57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-₹278.45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-₹850.12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-₹360.23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-₹963.81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-₹420.4</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5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-₹257.41</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Skoda Volkswagen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₹309.5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₹208.34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₹773.8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₹261.39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₹323.49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₹120.13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₹8.08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₹107.58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₹604.47</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6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₹420.76</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Tata Motors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₹2,728.13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-₹1,390.86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-₹2,395.44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-₹7,289.63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₹2,020.60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-₹1,034.85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-₹2,429.60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-₹62.3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-₹4,738.95</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7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₹334.52</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Industry Benchmark</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₹6,575.40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₹4,375.25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₹3,500.80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₹4,374.63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₹4,641.77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₹4,153.36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₹4,232.38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₹3,863.05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₹2,892.05</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7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₹2,798.32</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BMW India:</w:t>
      </w:r>
    </w:p>
    <w:p w:rsidR="00000000" w:rsidDel="00000000" w:rsidP="00000000" w:rsidRDefault="00000000" w:rsidRPr="00000000" w14:paraId="0000017F">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BMW India's net profit varied over the years, sometimes falling below and other times exceeding the industry benchmark. However, the company showed improvements in profitability over the years.</w:t>
      </w:r>
    </w:p>
    <w:p w:rsidR="00000000" w:rsidDel="00000000" w:rsidP="00000000" w:rsidRDefault="00000000" w:rsidRPr="00000000" w14:paraId="00000180">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Ford India:</w:t>
      </w:r>
    </w:p>
    <w:p w:rsidR="00000000" w:rsidDel="00000000" w:rsidP="00000000" w:rsidRDefault="00000000" w:rsidRPr="00000000" w14:paraId="00000181">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Ford India's net profit fluctuated significantly, often falling below the industry benchmark. The company faced challenges, particularly in 2020 and 2022, where it reported substantial losses.</w:t>
      </w:r>
    </w:p>
    <w:p w:rsidR="00000000" w:rsidDel="00000000" w:rsidP="00000000" w:rsidRDefault="00000000" w:rsidRPr="00000000" w14:paraId="00000182">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Hyundai India:</w:t>
      </w:r>
    </w:p>
    <w:p w:rsidR="00000000" w:rsidDel="00000000" w:rsidP="00000000" w:rsidRDefault="00000000" w:rsidRPr="00000000" w14:paraId="00000183">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Hyundai India consistently reported net profits above the industry benchmark, indicating strong financial performance and profitability compared to industry standards.</w:t>
      </w:r>
    </w:p>
    <w:p w:rsidR="00000000" w:rsidDel="00000000" w:rsidP="00000000" w:rsidRDefault="00000000" w:rsidRPr="00000000" w14:paraId="00000184">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Mahindra and Mahindra Ltd.:</w:t>
      </w:r>
    </w:p>
    <w:p w:rsidR="00000000" w:rsidDel="00000000" w:rsidP="00000000" w:rsidRDefault="00000000" w:rsidRPr="00000000" w14:paraId="00000185">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Mahindra and Mahindra Ltd. consistently reported net profits above the industry benchmark, indicating robust financial performance and profitability.</w:t>
      </w:r>
    </w:p>
    <w:p w:rsidR="00000000" w:rsidDel="00000000" w:rsidP="00000000" w:rsidRDefault="00000000" w:rsidRPr="00000000" w14:paraId="00000186">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Maruti Suzuki India Ltd:</w:t>
      </w:r>
    </w:p>
    <w:p w:rsidR="00000000" w:rsidDel="00000000" w:rsidP="00000000" w:rsidRDefault="00000000" w:rsidRPr="00000000" w14:paraId="00000187">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Maruti Suzuki India Ltd consistently reported net profits above the industry benchmark, indicating strong financial performance and profitability, particularly in recent years.</w:t>
      </w:r>
    </w:p>
    <w:p w:rsidR="00000000" w:rsidDel="00000000" w:rsidP="00000000" w:rsidRDefault="00000000" w:rsidRPr="00000000" w14:paraId="00000188">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Renault India:</w:t>
      </w:r>
    </w:p>
    <w:p w:rsidR="00000000" w:rsidDel="00000000" w:rsidP="00000000" w:rsidRDefault="00000000" w:rsidRPr="00000000" w14:paraId="00000189">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Renault India's net profit fluctuated over the years and often fell below the industry benchmark. The company faced challenges in achieving profitability comparable to industry standards.</w:t>
      </w:r>
    </w:p>
    <w:p w:rsidR="00000000" w:rsidDel="00000000" w:rsidP="00000000" w:rsidRDefault="00000000" w:rsidRPr="00000000" w14:paraId="0000018A">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Skoda Volkswagen India:</w:t>
      </w:r>
    </w:p>
    <w:p w:rsidR="00000000" w:rsidDel="00000000" w:rsidP="00000000" w:rsidRDefault="00000000" w:rsidRPr="00000000" w14:paraId="0000018B">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Skoda Volkswagen India's net profit varied over the years, with some years exceeding and others falling below the industry benchmark. Overall, the company showed mixed performance in terms of profitability.</w:t>
      </w:r>
    </w:p>
    <w:p w:rsidR="00000000" w:rsidDel="00000000" w:rsidP="00000000" w:rsidRDefault="00000000" w:rsidRPr="00000000" w14:paraId="0000018C">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rPr>
          <w:rtl w:val="0"/>
        </w:rPr>
        <w:t xml:space="preserve">Tata Motors India:</w:t>
      </w:r>
    </w:p>
    <w:p w:rsidR="00000000" w:rsidDel="00000000" w:rsidP="00000000" w:rsidRDefault="00000000" w:rsidRPr="00000000" w14:paraId="0000018D">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Tata Motors India's net profit fluctuated significantly, with some years reporting losses. The company faced challenges in achieving profitability comparable to industry standards, particularly in 2020 and 2022.</w:t>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rPr/>
      </w:pPr>
      <w:r w:rsidDel="00000000" w:rsidR="00000000" w:rsidRPr="00000000">
        <w:rPr>
          <w:rtl w:val="0"/>
        </w:rPr>
      </w:r>
    </w:p>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4)Total Liabilities:</w:t>
      </w:r>
    </w:p>
    <w:p w:rsidR="00000000" w:rsidDel="00000000" w:rsidP="00000000" w:rsidRDefault="00000000" w:rsidRPr="00000000" w14:paraId="00000191">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3028603477286"/>
        <w:gridCol w:w="845.1822770611329"/>
        <w:gridCol w:w="845.1822770611329"/>
        <w:gridCol w:w="845.1822770611329"/>
        <w:gridCol w:w="845.1822770611329"/>
        <w:gridCol w:w="845.1822770611329"/>
        <w:gridCol w:w="845.1822770611329"/>
        <w:gridCol w:w="845.1822770611329"/>
        <w:gridCol w:w="845.1822770611329"/>
        <w:gridCol w:w="845.1822770611329"/>
        <w:gridCol w:w="853.0566461020751"/>
        <w:tblGridChange w:id="0">
          <w:tblGrid>
            <w:gridCol w:w="900.3028603477286"/>
            <w:gridCol w:w="845.1822770611329"/>
            <w:gridCol w:w="845.1822770611329"/>
            <w:gridCol w:w="845.1822770611329"/>
            <w:gridCol w:w="845.1822770611329"/>
            <w:gridCol w:w="845.1822770611329"/>
            <w:gridCol w:w="845.1822770611329"/>
            <w:gridCol w:w="845.1822770611329"/>
            <w:gridCol w:w="845.1822770611329"/>
            <w:gridCol w:w="845.1822770611329"/>
            <w:gridCol w:w="853.0566461020751"/>
          </w:tblGrid>
        </w:tblGridChange>
      </w:tblGrid>
      <w:tr>
        <w:trPr>
          <w:cantSplit w:val="0"/>
          <w:trHeight w:val="143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2">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Company</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3">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(2023)</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4">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(2022)</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5">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(2021)</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6">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(2020)</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(2019)</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8">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(2018)</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(2017)</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(2016)</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(2015)</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19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Liabilities (2014)</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BMW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₹2,130.38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₹2,101.17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₹2,313.45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₹2,477.46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₹2,169.72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₹3,373.10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₹3,215.05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₹1,466.90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₹1,113.21</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A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₹1,928.22</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Ford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₹3,678.86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₹3,665.26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₹5,136.81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₹6,344.26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₹12,480.57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₹14,272.80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₹12,820.29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₹13,336.46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₹12,224.23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B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₹8,010.00</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Hyundai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₹22,715.19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₹19,294.63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₹17,914.08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₹15,916.19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₹16,249.07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₹13,962.11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₹11,327.79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₹8,960.03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₹7,667.85</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B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₹7,603.36</w:t>
            </w:r>
          </w:p>
        </w:tc>
      </w:tr>
      <w:tr>
        <w:trPr>
          <w:cantSplit w:val="0"/>
          <w:trHeight w:val="177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Mahindra and Mahindra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₹50,695.32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₹46,761.22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₹44,642.57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₹39,115.95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₹38,402.42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₹34,602.62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₹30,951.36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₹26,616.67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₹24,205.23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C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₹21,933.12</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Maruti Suzuki India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₹50,695.32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₹46,761.22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₹44,642.57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₹39,115.95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₹38,402.42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₹34,602.62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₹30,951.36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₹26,616.67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₹24,205.23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D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₹21,933.12</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Renault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₹1,431.86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₹1,438.27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₹1,054.70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₹1,391.51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₹2,283.96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₹2,265.85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₹2,450.40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₹1,184.16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₹1,450.51</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D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₹952.31</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Skoda Volkswagen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₹10,023.53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₹9,443.09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₹6,863.00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₹5,080.58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₹5,607.80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₹4,145.81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₹3,703.31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₹5,384.12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₹5,916.81</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E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₹4,407.65</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Tata Motors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₹44,443.81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₹45,921.83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₹44,060.03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₹47,332.02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₹42,482.78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₹40,146.67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₹42,863.24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₹43,776.25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₹38,387.99</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F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₹36,200.13</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Industry Benchmark</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₹20,794.66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₹20,496.14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₹21,553.70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₹22,726.39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₹28,790.26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₹29,024.50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₹28,437.24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₹24,798.85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₹23,420.98</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F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₹21,885.45</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BMW India:</w:t>
      </w:r>
    </w:p>
    <w:p w:rsidR="00000000" w:rsidDel="00000000" w:rsidP="00000000" w:rsidRDefault="00000000" w:rsidRPr="00000000" w14:paraId="00000202">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BMW India's total liabilities fluctuated over the years but generally remained above the industry benchmark. This indicates that BMW India may have higher debt obligations compared to industry standards.</w:t>
      </w:r>
    </w:p>
    <w:p w:rsidR="00000000" w:rsidDel="00000000" w:rsidP="00000000" w:rsidRDefault="00000000" w:rsidRPr="00000000" w14:paraId="0000020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Ford India:</w:t>
      </w:r>
    </w:p>
    <w:p w:rsidR="00000000" w:rsidDel="00000000" w:rsidP="00000000" w:rsidRDefault="00000000" w:rsidRPr="00000000" w14:paraId="00000204">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Ford India's total liabilities varied over the years, sometimes exceeding and other times falling below the industry benchmark. Overall, Ford India's debt levels appear to fluctuate compared to industry standards.</w:t>
      </w:r>
    </w:p>
    <w:p w:rsidR="00000000" w:rsidDel="00000000" w:rsidP="00000000" w:rsidRDefault="00000000" w:rsidRPr="00000000" w14:paraId="0000020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Hyundai India:</w:t>
      </w:r>
    </w:p>
    <w:p w:rsidR="00000000" w:rsidDel="00000000" w:rsidP="00000000" w:rsidRDefault="00000000" w:rsidRPr="00000000" w14:paraId="00000206">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Hyundai India consistently reported total liabilities above the industry benchmark. This suggests that Hyundai India may have higher debt obligations compared to industry standards.</w:t>
      </w:r>
    </w:p>
    <w:p w:rsidR="00000000" w:rsidDel="00000000" w:rsidP="00000000" w:rsidRDefault="00000000" w:rsidRPr="00000000" w14:paraId="0000020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Mahindra and Mahindra Ltd.:</w:t>
      </w:r>
    </w:p>
    <w:p w:rsidR="00000000" w:rsidDel="00000000" w:rsidP="00000000" w:rsidRDefault="00000000" w:rsidRPr="00000000" w14:paraId="00000208">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Mahindra and Mahindra Ltd. consistently reported total liabilities above the industry benchmark. This indicates that the company may have higher debt obligations compared to industry standards.</w:t>
      </w:r>
    </w:p>
    <w:p w:rsidR="00000000" w:rsidDel="00000000" w:rsidP="00000000" w:rsidRDefault="00000000" w:rsidRPr="00000000" w14:paraId="0000020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Maruti Suzuki India Ltd:</w:t>
      </w:r>
    </w:p>
    <w:p w:rsidR="00000000" w:rsidDel="00000000" w:rsidP="00000000" w:rsidRDefault="00000000" w:rsidRPr="00000000" w14:paraId="0000020A">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Maruti Suzuki India Ltd consistently reported total liabilities above the industry benchmark. This suggests that Maruti Suzuki India Ltd may have higher debt obligations compared to industry standards.</w:t>
      </w:r>
    </w:p>
    <w:p w:rsidR="00000000" w:rsidDel="00000000" w:rsidP="00000000" w:rsidRDefault="00000000" w:rsidRPr="00000000" w14:paraId="0000020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Renault India:</w:t>
      </w:r>
    </w:p>
    <w:p w:rsidR="00000000" w:rsidDel="00000000" w:rsidP="00000000" w:rsidRDefault="00000000" w:rsidRPr="00000000" w14:paraId="0000020C">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Renault India's total liabilities varied over the years, sometimes below and other times above the industry benchmark. Overall, Renault India's debt levels appear to fluctuate compared to industry standards.</w:t>
      </w:r>
    </w:p>
    <w:p w:rsidR="00000000" w:rsidDel="00000000" w:rsidP="00000000" w:rsidRDefault="00000000" w:rsidRPr="00000000" w14:paraId="0000020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Skoda Volkswagen India:</w:t>
      </w:r>
    </w:p>
    <w:p w:rsidR="00000000" w:rsidDel="00000000" w:rsidP="00000000" w:rsidRDefault="00000000" w:rsidRPr="00000000" w14:paraId="0000020E">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Skoda Volkswagen India's total liabilities varied over the years but generally remained below the industry benchmark. This indicates that the company may have lower debt obligations compared to industry standards.</w:t>
      </w:r>
    </w:p>
    <w:p w:rsidR="00000000" w:rsidDel="00000000" w:rsidP="00000000" w:rsidRDefault="00000000" w:rsidRPr="00000000" w14:paraId="0000020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Tata Motors India:</w:t>
      </w:r>
    </w:p>
    <w:p w:rsidR="00000000" w:rsidDel="00000000" w:rsidP="00000000" w:rsidRDefault="00000000" w:rsidRPr="00000000" w14:paraId="00000210">
      <w:pPr>
        <w:numPr>
          <w:ilvl w:val="1"/>
          <w:numId w:val="6"/>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Tata Motors India's total liabilities varied over the years but generally remained above the industry benchmark. This suggests that Tata Motors India may have higher debt obligations compared to industry standards.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5)Total assets: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1772293886708"/>
        <w:gridCol w:w="845.1822770611329"/>
        <w:gridCol w:w="845.1822770611329"/>
        <w:gridCol w:w="845.1822770611329"/>
        <w:gridCol w:w="845.1822770611329"/>
        <w:gridCol w:w="845.1822770611329"/>
        <w:gridCol w:w="845.1822770611329"/>
        <w:gridCol w:w="845.1822770611329"/>
        <w:gridCol w:w="845.1822770611329"/>
        <w:gridCol w:w="845.1822770611329"/>
        <w:gridCol w:w="845.1822770611329"/>
        <w:tblGridChange w:id="0">
          <w:tblGrid>
            <w:gridCol w:w="908.1772293886708"/>
            <w:gridCol w:w="845.1822770611329"/>
            <w:gridCol w:w="845.1822770611329"/>
            <w:gridCol w:w="845.1822770611329"/>
            <w:gridCol w:w="845.1822770611329"/>
            <w:gridCol w:w="845.1822770611329"/>
            <w:gridCol w:w="845.1822770611329"/>
            <w:gridCol w:w="845.1822770611329"/>
            <w:gridCol w:w="845.1822770611329"/>
            <w:gridCol w:w="845.1822770611329"/>
            <w:gridCol w:w="845.1822770611329"/>
          </w:tblGrid>
        </w:tblGridChange>
      </w:tblGrid>
      <w:tr>
        <w:trPr>
          <w:cantSplit w:val="0"/>
          <w:trHeight w:val="143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6">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Company</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7">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(2023)</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8">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(2022)</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9">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(2021)</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A">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(2020)</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B">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(2019)</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C">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(2018)</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D">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(2017)</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E">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(2016)</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F">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(2015)</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220">
            <w:pPr>
              <w:spacing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Total Assets (2014)</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BMW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₹2,130.39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₹2,101.18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₹2,313.46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₹2,477.47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₹2,169.73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₹3,373.12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₹3,215.06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₹1,466.90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₹1,113.20</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2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₹1,928.22</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Ford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₹3,678.86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₹3,665.26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₹5,136.81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₹6,344.26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₹12,480.57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₹14,272.80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₹12,820.29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₹13,336.46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₹12,224.23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3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₹8,010.00</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Hyundai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₹22,715.19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₹19,294.64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₹17,914.07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₹15,916.19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₹16,249.07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₹13,962.11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₹11,327.79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₹8,960.03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₹7,667.85</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4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₹7,603.36</w:t>
            </w:r>
          </w:p>
        </w:tc>
      </w:tr>
      <w:tr>
        <w:trPr>
          <w:cantSplit w:val="0"/>
          <w:trHeight w:val="177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Mahindra and Mahindra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₹50,695.32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₹46,761.22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₹44,642.57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₹39,115.95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₹38,402.42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₹34,602.62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₹30,951.36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₹26,616.67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₹24,205.23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4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₹21,933.12</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Maruti Suzuki India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₹50,695.32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₹46,761.22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₹44,642.57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₹39,115.95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₹38,402.42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₹34,602.62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₹30,951.36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₹26,616.67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₹24,205.23</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5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₹21,933.12</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Renault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₹1,431.86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₹1,438.27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₹1,054.70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₹1,391.51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₹2,283.96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₹2,265.85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₹2,450.40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₹1,184.16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₹1,450.51</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6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₹952.31</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Skoda Volkswagen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₹10,023.52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₹9,443.08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₹6,862.99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₹5,080.58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₹5,607.80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₹4,145.81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₹3,703.32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₹5,384.12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₹5,916.80</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6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₹4,407.65</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Tata Motors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₹44,443.81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₹45,921.83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₹44,060.03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₹47,332.02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₹42,482.78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4">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₹40,146.67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5">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₹42,863.24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6">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₹43,776.25</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7">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₹38,387.99</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78">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₹36,200.13</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9">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Industry Benchmark</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A">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₹22,639.74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B">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₹20,789.96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C">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₹19,718.99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D">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₹19,112.70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E">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₹20,487.76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F">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₹20,779.74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0">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₹20,466.93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₹19,169.94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2">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₹17,709.06</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83">
            <w:pPr>
              <w:spacing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₹17,105.51</w:t>
            </w:r>
          </w:p>
        </w:tc>
      </w:tr>
    </w:tbl>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BMW India:</w:t>
      </w:r>
    </w:p>
    <w:p w:rsidR="00000000" w:rsidDel="00000000" w:rsidP="00000000" w:rsidRDefault="00000000" w:rsidRPr="00000000" w14:paraId="00000286">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BMW India's total assets generally fluctuated over the years but remained mostly above the industry benchmark. This indicates that BMW India maintains higher asset levels compared to industry standards.</w:t>
      </w:r>
    </w:p>
    <w:p w:rsidR="00000000" w:rsidDel="00000000" w:rsidP="00000000" w:rsidRDefault="00000000" w:rsidRPr="00000000" w14:paraId="0000028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Ford India:</w:t>
      </w:r>
    </w:p>
    <w:p w:rsidR="00000000" w:rsidDel="00000000" w:rsidP="00000000" w:rsidRDefault="00000000" w:rsidRPr="00000000" w14:paraId="00000288">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Ford India's total assets are consistently above the industry benchmark, suggesting that the company holds higher asset levels compared to industry standards.</w:t>
      </w:r>
    </w:p>
    <w:p w:rsidR="00000000" w:rsidDel="00000000" w:rsidP="00000000" w:rsidRDefault="00000000" w:rsidRPr="00000000" w14:paraId="0000028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Hyundai India:</w:t>
      </w:r>
    </w:p>
    <w:p w:rsidR="00000000" w:rsidDel="00000000" w:rsidP="00000000" w:rsidRDefault="00000000" w:rsidRPr="00000000" w14:paraId="0000028A">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Hyundai India's total assets consistently surpassed the industry benchmark, indicating that the company maintains higher asset levels compared to industry standards.</w:t>
      </w:r>
    </w:p>
    <w:p w:rsidR="00000000" w:rsidDel="00000000" w:rsidP="00000000" w:rsidRDefault="00000000" w:rsidRPr="00000000" w14:paraId="0000028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Mahindra and Mahindra Ltd.:</w:t>
      </w:r>
    </w:p>
    <w:p w:rsidR="00000000" w:rsidDel="00000000" w:rsidP="00000000" w:rsidRDefault="00000000" w:rsidRPr="00000000" w14:paraId="0000028C">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Mahindra and Mahindra Ltd. reported total assets above the industry benchmark throughout the years, suggesting that the company maintains higher asset levels compared to industry standards.</w:t>
      </w:r>
    </w:p>
    <w:p w:rsidR="00000000" w:rsidDel="00000000" w:rsidP="00000000" w:rsidRDefault="00000000" w:rsidRPr="00000000" w14:paraId="0000028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Maruti Suzuki India Ltd:</w:t>
      </w:r>
    </w:p>
    <w:p w:rsidR="00000000" w:rsidDel="00000000" w:rsidP="00000000" w:rsidRDefault="00000000" w:rsidRPr="00000000" w14:paraId="0000028E">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Maruti Suzuki India Ltd consistently reported total assets above the industry benchmark, indicating that the company maintains higher asset levels compared to industry standards.</w:t>
      </w:r>
    </w:p>
    <w:p w:rsidR="00000000" w:rsidDel="00000000" w:rsidP="00000000" w:rsidRDefault="00000000" w:rsidRPr="00000000" w14:paraId="0000028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Renault India:</w:t>
      </w:r>
    </w:p>
    <w:p w:rsidR="00000000" w:rsidDel="00000000" w:rsidP="00000000" w:rsidRDefault="00000000" w:rsidRPr="00000000" w14:paraId="00000290">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Renault India's total assets varied over the years, sometimes below and other times above the industry benchmark. Overall, Renault India's asset levels fluctuate compared to industry standards.</w:t>
      </w:r>
    </w:p>
    <w:p w:rsidR="00000000" w:rsidDel="00000000" w:rsidP="00000000" w:rsidRDefault="00000000" w:rsidRPr="00000000" w14:paraId="0000029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Skoda Volkswagen India:</w:t>
      </w:r>
    </w:p>
    <w:p w:rsidR="00000000" w:rsidDel="00000000" w:rsidP="00000000" w:rsidRDefault="00000000" w:rsidRPr="00000000" w14:paraId="00000292">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Skoda Volkswagen India's total assets varied over the years but generally remained below the industry benchmark. This suggests that the company may have lower asset levels compared to industry standards.</w:t>
      </w:r>
    </w:p>
    <w:p w:rsidR="00000000" w:rsidDel="00000000" w:rsidP="00000000" w:rsidRDefault="00000000" w:rsidRPr="00000000" w14:paraId="0000029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Tata Motors India:</w:t>
      </w:r>
    </w:p>
    <w:p w:rsidR="00000000" w:rsidDel="00000000" w:rsidP="00000000" w:rsidRDefault="00000000" w:rsidRPr="00000000" w14:paraId="00000294">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Fonts w:ascii="Roboto" w:cs="Roboto" w:eastAsia="Roboto" w:hAnsi="Roboto"/>
          <w:color w:val="0d0d0d"/>
          <w:sz w:val="24"/>
          <w:szCs w:val="24"/>
          <w:rtl w:val="0"/>
        </w:rPr>
        <w:t xml:space="preserve">Tata Motors India's total assets generally remained above the industry benchmark, indicating that the company maintains higher asset levels compared to industry standards.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Roboto" w:cs="Roboto" w:eastAsia="Roboto" w:hAnsi="Roboto"/>
          <w:color w:val="1f1f1f"/>
          <w:sz w:val="24"/>
          <w:szCs w:val="24"/>
          <w:highlight w:val="white"/>
        </w:rPr>
      </w:pPr>
      <w:r w:rsidDel="00000000" w:rsidR="00000000" w:rsidRPr="00000000">
        <w:rPr>
          <w:rtl w:val="0"/>
        </w:rPr>
        <w:t xml:space="preserve">6)</w:t>
      </w:r>
      <w:r w:rsidDel="00000000" w:rsidR="00000000" w:rsidRPr="00000000">
        <w:rPr>
          <w:rFonts w:ascii="Roboto" w:cs="Roboto" w:eastAsia="Roboto" w:hAnsi="Roboto"/>
          <w:color w:val="1f1f1f"/>
          <w:sz w:val="24"/>
          <w:szCs w:val="24"/>
          <w:highlight w:val="white"/>
          <w:rtl w:val="0"/>
        </w:rPr>
        <w:t xml:space="preserve">Debt-to-equity (D/E) ratio</w:t>
      </w:r>
    </w:p>
    <w:p w:rsidR="00000000" w:rsidDel="00000000" w:rsidP="00000000" w:rsidRDefault="00000000" w:rsidRPr="00000000" w14:paraId="00000298">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299">
      <w:pPr>
        <w:rPr>
          <w:rFonts w:ascii="Roboto" w:cs="Roboto" w:eastAsia="Roboto" w:hAnsi="Roboto"/>
          <w:color w:val="1f1f1f"/>
          <w:sz w:val="24"/>
          <w:szCs w:val="24"/>
          <w:highlight w:val="white"/>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6.9790915645276"/>
        <w:gridCol w:w="813.1795241528478"/>
        <w:gridCol w:w="813.1795241528478"/>
        <w:gridCol w:w="813.1795241528478"/>
        <w:gridCol w:w="813.1795241528478"/>
        <w:gridCol w:w="813.1795241528478"/>
        <w:gridCol w:w="813.1795241528478"/>
        <w:gridCol w:w="813.1795241528478"/>
        <w:gridCol w:w="904.282624369142"/>
        <w:gridCol w:w="813.1795241528478"/>
        <w:gridCol w:w="823.3020908435471"/>
        <w:tblGridChange w:id="0">
          <w:tblGrid>
            <w:gridCol w:w="1126.9790915645276"/>
            <w:gridCol w:w="813.1795241528478"/>
            <w:gridCol w:w="813.1795241528478"/>
            <w:gridCol w:w="813.1795241528478"/>
            <w:gridCol w:w="813.1795241528478"/>
            <w:gridCol w:w="813.1795241528478"/>
            <w:gridCol w:w="813.1795241528478"/>
            <w:gridCol w:w="813.1795241528478"/>
            <w:gridCol w:w="904.282624369142"/>
            <w:gridCol w:w="813.1795241528478"/>
            <w:gridCol w:w="823.3020908435471"/>
          </w:tblGrid>
        </w:tblGridChange>
      </w:tblGrid>
      <w:tr>
        <w:trPr>
          <w:cantSplit w:val="0"/>
          <w:trHeight w:val="179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9A">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Company</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9B">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(2023)</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9C">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(2022)</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9D">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(2021)</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9E">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(2020)</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9F">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(2019)</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A0">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(2018)</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A1">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(2017)</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A2">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(2016)</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A3">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(2015)</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2A4">
            <w:pPr>
              <w:spacing w:line="411.42960000000005" w:lineRule="auto"/>
              <w:jc w:val="center"/>
              <w:rPr>
                <w:rFonts w:ascii="Roboto" w:cs="Roboto" w:eastAsia="Roboto" w:hAnsi="Roboto"/>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Debt-Equity Ratio (2014)</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5">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BMW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6">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0.48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7">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1.22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8">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9">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1.59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A">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1.28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B">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1.27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C">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1.38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D">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1.11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E">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1.48</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AF">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1.54</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0">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Ford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1">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1.67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2">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28.24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3">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4">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3.34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5">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1.74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6">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7">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2.49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8">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2.11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9">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1.55</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BA">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1.12</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B">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Hyundai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C">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D">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E">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F">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0">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1">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0.14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2">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0.14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3">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4">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0.32</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C5">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0.44</w:t>
            </w:r>
          </w:p>
        </w:tc>
      </w:tr>
      <w:tr>
        <w:trPr>
          <w:cantSplit w:val="0"/>
          <w:trHeight w:val="177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6">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Mahindra and Mahindra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7">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0.14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8">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9">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A">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B">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C">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D">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0.12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E">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CF">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0.22</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D0">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0.24</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1">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Maruti Suzuki India Ltd</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2">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3">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4">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5">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6">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7">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8">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9">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A">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0.05</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DB">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0.08</w:t>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C">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Renault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D">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0.27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E">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0.64</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F">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0">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2.19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1">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3.17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2">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4.16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3">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11.41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4">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1,856.96</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5">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6.6</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E6">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4.14</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7">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Skoda Volkswagen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8">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0.48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9">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0.37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A">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0.32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B">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0.31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C">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0.49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D">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0.77</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E">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1.09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EF">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1.13</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0">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1.07</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F1">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1.76</w:t>
            </w:r>
          </w:p>
        </w:tc>
      </w:tr>
      <w:tr>
        <w:trPr>
          <w:cantSplit w:val="0"/>
          <w:trHeight w:val="141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2">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Tata Motors India</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3">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1.01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4">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1.18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5">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1.29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6">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7">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0.88</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8">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0.92</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9">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0.81</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A">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0.99</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B">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1.06</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2FC">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0.83</w:t>
            </w:r>
          </w:p>
        </w:tc>
      </w:tr>
    </w:tbl>
    <w:p w:rsidR="00000000" w:rsidDel="00000000" w:rsidP="00000000" w:rsidRDefault="00000000" w:rsidRPr="00000000" w14:paraId="000002FD">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2F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BMW India:</w:t>
      </w:r>
    </w:p>
    <w:p w:rsidR="00000000" w:rsidDel="00000000" w:rsidP="00000000" w:rsidRDefault="00000000" w:rsidRPr="00000000" w14:paraId="000002FF">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BMW India's Debt-Equity Ratio fluctuates over the years, indicating variations in the company's financing structure. While it occasionally exceeds the industry benchmark, it also falls below it, suggesting a mixed approach to debt management.</w:t>
      </w:r>
    </w:p>
    <w:p w:rsidR="00000000" w:rsidDel="00000000" w:rsidP="00000000" w:rsidRDefault="00000000" w:rsidRPr="00000000" w14:paraId="0000030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Ford India:</w:t>
      </w:r>
    </w:p>
    <w:p w:rsidR="00000000" w:rsidDel="00000000" w:rsidP="00000000" w:rsidRDefault="00000000" w:rsidRPr="00000000" w14:paraId="00000301">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Ford India's Debt-Equity Ratio displays significant volatility, with some years showing ratios substantially higher than the industry benchmark. This suggests that the company might be leveraging debt more aggressively compared to industry norms.</w:t>
      </w:r>
    </w:p>
    <w:p w:rsidR="00000000" w:rsidDel="00000000" w:rsidP="00000000" w:rsidRDefault="00000000" w:rsidRPr="00000000" w14:paraId="0000030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Hyundai India:</w:t>
      </w:r>
    </w:p>
    <w:p w:rsidR="00000000" w:rsidDel="00000000" w:rsidP="00000000" w:rsidRDefault="00000000" w:rsidRPr="00000000" w14:paraId="00000303">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Hyundai India maintains a consistently lower Debt-Equity Ratio compared to the industry benchmark across most years. This indicates a conservative financing strategy, potentially reducing the company's financial risk exposure.</w:t>
      </w:r>
    </w:p>
    <w:p w:rsidR="00000000" w:rsidDel="00000000" w:rsidP="00000000" w:rsidRDefault="00000000" w:rsidRPr="00000000" w14:paraId="0000030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Mahindra and Mahindra Ltd.:</w:t>
      </w:r>
    </w:p>
    <w:p w:rsidR="00000000" w:rsidDel="00000000" w:rsidP="00000000" w:rsidRDefault="00000000" w:rsidRPr="00000000" w14:paraId="00000305">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Mahindra and Mahindra Ltd. generally keeps its Debt-Equity Ratio lower than the industry benchmark. This signifies a prudent approach to financing, which may help mitigate financial risks and ensure stability.</w:t>
      </w:r>
    </w:p>
    <w:p w:rsidR="00000000" w:rsidDel="00000000" w:rsidP="00000000" w:rsidRDefault="00000000" w:rsidRPr="00000000" w14:paraId="000003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Maruti Suzuki India Ltd:</w:t>
      </w:r>
    </w:p>
    <w:p w:rsidR="00000000" w:rsidDel="00000000" w:rsidP="00000000" w:rsidRDefault="00000000" w:rsidRPr="00000000" w14:paraId="00000307">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Maruti Suzuki India Ltd maintains a Debt-Equity Ratio below the industry benchmark, suggesting a cautious approach to debt utilization. This strategy may contribute to the company's financial stability and resilience.</w:t>
      </w:r>
    </w:p>
    <w:p w:rsidR="00000000" w:rsidDel="00000000" w:rsidP="00000000" w:rsidRDefault="00000000" w:rsidRPr="00000000" w14:paraId="000003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Renault India:</w:t>
      </w:r>
    </w:p>
    <w:p w:rsidR="00000000" w:rsidDel="00000000" w:rsidP="00000000" w:rsidRDefault="00000000" w:rsidRPr="00000000" w14:paraId="00000309">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Renault India's Debt-Equity Ratio exhibits considerable fluctuations, occasionally surpassing the industry benchmark by a significant margin. This indicates fluctuations in the company's debt management practices and potential financial instability.</w:t>
      </w:r>
    </w:p>
    <w:p w:rsidR="00000000" w:rsidDel="00000000" w:rsidP="00000000" w:rsidRDefault="00000000" w:rsidRPr="00000000" w14:paraId="000003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Skoda Volkswagen India:</w:t>
      </w:r>
    </w:p>
    <w:p w:rsidR="00000000" w:rsidDel="00000000" w:rsidP="00000000" w:rsidRDefault="00000000" w:rsidRPr="00000000" w14:paraId="0000030B">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Skoda Volkswagen India's Debt-Equity Ratio fluctuates but generally remains close to the industry benchmark. This suggests that the company's financing strategy aligns closely with industry norms, potentially ensuring financial stability.</w:t>
      </w:r>
    </w:p>
    <w:p w:rsidR="00000000" w:rsidDel="00000000" w:rsidP="00000000" w:rsidRDefault="00000000" w:rsidRPr="00000000" w14:paraId="000003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color w:val="0d0d0d"/>
          <w:sz w:val="24"/>
          <w:szCs w:val="24"/>
          <w:highlight w:val="white"/>
          <w:rtl w:val="0"/>
        </w:rPr>
        <w:t xml:space="preserve">Tata Motors India:</w:t>
      </w:r>
    </w:p>
    <w:p w:rsidR="00000000" w:rsidDel="00000000" w:rsidP="00000000" w:rsidRDefault="00000000" w:rsidRPr="00000000" w14:paraId="0000030D">
      <w:pPr>
        <w:numPr>
          <w:ilvl w:val="1"/>
          <w:numId w:val="3"/>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Tata Motors India's Debt-Equity Ratio fluctuates over the years, sometimes exceeding the industry benchmark. This indicates varying levels of debt utilization, which may pose financial risks during periods of economic uncertainty.</w:t>
      </w:r>
    </w:p>
    <w:p w:rsidR="00000000" w:rsidDel="00000000" w:rsidP="00000000" w:rsidRDefault="00000000" w:rsidRPr="00000000" w14:paraId="0000030E">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30F">
      <w:pPr>
        <w:rPr>
          <w:rFonts w:ascii="Roboto" w:cs="Roboto" w:eastAsia="Roboto" w:hAnsi="Roboto"/>
          <w:color w:val="1f1f1f"/>
          <w:sz w:val="24"/>
          <w:szCs w:val="24"/>
          <w:highlight w:val="white"/>
        </w:rPr>
      </w:pPr>
      <w:r w:rsidDel="00000000" w:rsidR="00000000" w:rsidRPr="00000000">
        <w:rPr>
          <w:rtl w:val="0"/>
        </w:rPr>
      </w:r>
    </w:p>
    <w:p w:rsidR="00000000" w:rsidDel="00000000" w:rsidP="00000000" w:rsidRDefault="00000000" w:rsidRPr="00000000" w14:paraId="00000310">
      <w:pPr>
        <w:rPr>
          <w:color w:val="1f1f1f"/>
          <w:sz w:val="30"/>
          <w:szCs w:val="30"/>
          <w:highlight w:val="white"/>
        </w:rPr>
      </w:pPr>
      <w:r w:rsidDel="00000000" w:rsidR="00000000" w:rsidRPr="00000000">
        <w:rPr>
          <w:rtl w:val="0"/>
        </w:rPr>
      </w:r>
    </w:p>
    <w:p w:rsidR="00000000" w:rsidDel="00000000" w:rsidP="00000000" w:rsidRDefault="00000000" w:rsidRPr="00000000" w14:paraId="00000311">
      <w:pPr>
        <w:rPr>
          <w:color w:val="1f1f1f"/>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