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4"/>
          <w:szCs w:val="44"/>
        </w:rPr>
        <w:t xml:space="preserve">THE VIRIAL PARTITION</w:t>
      </w:r>
    </w:p>
    <w:p>
      <w:pPr>
        <w:spacing w:after="100"/>
        <w:jc w:val="center"/>
      </w:pPr>
      <w:r>
        <w:rPr>
          <w:rFonts w:ascii="Arial" w:cs="Arial" w:eastAsia="Arial" w:hAnsi="Arial"/>
          <w:b/>
          <w:bCs/>
          <w:color w:val="1B3A5C"/>
          <w:sz w:val="44"/>
          <w:szCs w:val="44"/>
        </w:rPr>
        <w:t xml:space="preserve">ACROSS ALL SCALES</w:t>
      </w:r>
    </w:p>
    <w:p>
      <w:pPr>
        <w:pBdr>
          <w:bottom w:val="single" w:color="C5932A" w:sz="6" w:space="1"/>
        </w:pBdr>
        <w:spacing w:after="400"/>
        <w:jc w:val="center"/>
      </w:pPr>
    </w:p>
    <w:p>
      <w:pPr>
        <w:spacing w:after="120"/>
        <w:jc w:val="center"/>
      </w:pPr>
      <w:r>
        <w:rPr>
          <w:rFonts w:ascii="Arial" w:cs="Arial" w:eastAsia="Arial" w:hAnsi="Arial"/>
          <w:color w:val="3A6B8C"/>
          <w:sz w:val="28"/>
          <w:szCs w:val="28"/>
        </w:rPr>
        <w:t xml:space="preserve">A Cross-Domain Validation Roadmap</w:t>
      </w:r>
    </w:p>
    <w:p>
      <w:pPr>
        <w:spacing w:after="80"/>
        <w:jc w:val="center"/>
      </w:pPr>
      <w:r>
        <w:rPr>
          <w:rFonts w:ascii="Arial" w:cs="Arial" w:eastAsia="Arial" w:hAnsi="Arial"/>
          <w:color w:val="3A6B8C"/>
          <w:sz w:val="28"/>
          <w:szCs w:val="28"/>
        </w:rPr>
        <w:t xml:space="preserve">for the Informational Actualization Model</w:t>
      </w:r>
    </w:p>
    <w:p>
      <w:pPr>
        <w:spacing w:before="600"/>
      </w:pPr>
    </w:p>
    <w:p>
      <w:pPr>
        <w:spacing w:after="80"/>
        <w:jc w:val="center"/>
      </w:pPr>
      <w:r>
        <w:rPr>
          <w:rFonts w:ascii="Arial" w:cs="Arial" w:eastAsia="Arial" w:hAnsi="Arial"/>
          <w:i/>
          <w:iCs/>
          <w:color w:val="555555"/>
          <w:sz w:val="24"/>
          <w:szCs w:val="24"/>
        </w:rPr>
        <w:t xml:space="preserve">Testing the Virial Theorem’s Role as the</w:t>
      </w:r>
    </w:p>
    <w:p>
      <w:pPr>
        <w:spacing w:after="80"/>
        <w:jc w:val="center"/>
      </w:pPr>
      <w:r>
        <w:rPr>
          <w:rFonts w:ascii="Arial" w:cs="Arial" w:eastAsia="Arial" w:hAnsi="Arial"/>
          <w:i/>
          <w:iCs/>
          <w:color w:val="555555"/>
          <w:sz w:val="24"/>
          <w:szCs w:val="24"/>
        </w:rPr>
        <w:t xml:space="preserve">Universal Partition Function Between Geometry and Information</w:t>
      </w:r>
    </w:p>
    <w:p>
      <w:pPr>
        <w:spacing w:after="80"/>
        <w:jc w:val="center"/>
      </w:pPr>
      <w:r>
        <w:rPr>
          <w:rFonts w:ascii="Arial" w:cs="Arial" w:eastAsia="Arial" w:hAnsi="Arial"/>
          <w:i/>
          <w:iCs/>
          <w:color w:val="555555"/>
          <w:sz w:val="24"/>
          <w:szCs w:val="24"/>
        </w:rPr>
        <w:t xml:space="preserve">Across 20+ Orders of Magnitude in Scale</w:t>
      </w:r>
    </w:p>
    <w:p>
      <w:pPr>
        <w:spacing w:before="800"/>
      </w:pPr>
    </w:p>
    <w:p>
      <w:pPr>
        <w:spacing w:after="60"/>
        <w:jc w:val="center"/>
      </w:pPr>
      <w:r>
        <w:rPr>
          <w:rFonts w:ascii="Arial" w:cs="Arial" w:eastAsia="Arial" w:hAnsi="Arial"/>
          <w:b/>
          <w:bCs/>
          <w:color w:val="1B3A5C"/>
          <w:sz w:val="24"/>
          <w:szCs w:val="24"/>
        </w:rPr>
        <w:t xml:space="preserve">Heath W. Mahaffey</w:t>
      </w:r>
    </w:p>
    <w:p>
      <w:pPr>
        <w:spacing w:after="60"/>
        <w:jc w:val="center"/>
      </w:pPr>
      <w:r>
        <w:rPr>
          <w:rFonts w:ascii="Arial" w:cs="Arial" w:eastAsia="Arial" w:hAnsi="Arial"/>
          <w:color w:val="555555"/>
          <w:sz w:val="22"/>
          <w:szCs w:val="22"/>
        </w:rPr>
        <w:t xml:space="preserve">Independent Researcher, Entiat, WA</w:t>
      </w:r>
    </w:p>
    <w:p>
      <w:pPr>
        <w:spacing w:after="200"/>
        <w:jc w:val="center"/>
      </w:pPr>
      <w:r>
        <w:rPr>
          <w:rFonts w:ascii="Arial" w:cs="Arial" w:eastAsia="Arial" w:hAnsi="Arial"/>
          <w:color w:val="555555"/>
          <w:sz w:val="22"/>
          <w:szCs w:val="22"/>
        </w:rPr>
        <w:t xml:space="preserve">February 2026</w:t>
      </w:r>
    </w:p>
    <w:p>
      <w:pPr>
        <w:spacing w:before="400"/>
      </w:pPr>
    </w:p>
    <w:p>
      <w:pPr>
        <w:spacing w:after="60"/>
        <w:jc w:val="center"/>
      </w:pPr>
      <w:r>
        <w:rPr>
          <w:rFonts w:ascii="Arial" w:cs="Arial" w:eastAsia="Arial" w:hAnsi="Arial"/>
          <w:color w:val="888888"/>
          <w:sz w:val="20"/>
          <w:szCs w:val="20"/>
        </w:rPr>
        <w:t xml:space="preserve">IAM Project Document</w:t>
      </w:r>
    </w:p>
    <w:p>
      <w:pPr>
        <w:jc w:val="center"/>
      </w:pPr>
      <w:r>
        <w:rPr>
          <w:rFonts w:ascii="Arial" w:cs="Arial" w:eastAsia="Arial" w:hAnsi="Arial"/>
          <w:color w:val="888888"/>
          <w:sz w:val="20"/>
          <w:szCs w:val="20"/>
        </w:rPr>
        <w:t xml:space="preserve">Internal Working Roadmap — Not for Publication</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0"/>
          <w:szCs w:val="30"/>
        </w:rPr>
        <w:t xml:space="preserve">1. The Core Insight</w:t>
      </w:r>
    </w:p>
    <w:p>
      <w:pPr>
        <w:spacing w:after="160" w:line="300"/>
        <w:jc w:val="left"/>
      </w:pPr>
      <w:r>
        <w:rPr>
          <w:rFonts w:ascii="Arial" w:cs="Arial" w:eastAsia="Arial" w:hAnsi="Arial"/>
          <w:color w:val="333333"/>
          <w:sz w:val="22"/>
          <w:szCs w:val="22"/>
        </w:rPr>
        <w:t xml:space="preserve">The Informational Actualization Model derives its coupling constant from the virial theorem:</w:t>
      </w:r>
    </w:p>
    <w:p>
      <w:pPr>
        <w:spacing w:before="200" w:after="200"/>
        <w:jc w:val="center"/>
      </w:pPr>
      <w:r>
        <w:rPr>
          <w:rFonts w:ascii="Arial" w:cs="Arial" w:eastAsia="Arial" w:hAnsi="Arial"/>
          <w:i/>
          <w:iCs/>
          <w:color w:val="1B3A5C"/>
          <w:sz w:val="24"/>
          <w:szCs w:val="24"/>
        </w:rPr>
        <w:t xml:space="preserve">β</w:t>
      </w:r>
      <w:r>
        <w:rPr>
          <w:rFonts w:ascii="Arial" w:cs="Arial" w:eastAsia="Arial" w:hAnsi="Arial"/>
          <w:color w:val="1B3A5C"/>
          <w:sz w:val="20"/>
          <w:szCs w:val="20"/>
        </w:rPr>
        <w:t xml:space="preserve">_m</w:t>
      </w:r>
      <w:r>
        <w:rPr>
          <w:rFonts w:ascii="Arial" w:cs="Arial" w:eastAsia="Arial" w:hAnsi="Arial"/>
          <w:color w:val="1B3A5C"/>
          <w:sz w:val="24"/>
          <w:szCs w:val="24"/>
        </w:rPr>
        <w:t xml:space="preserve"> = Ω</w:t>
      </w:r>
      <w:r>
        <w:rPr>
          <w:rFonts w:ascii="Arial" w:cs="Arial" w:eastAsia="Arial" w:hAnsi="Arial"/>
          <w:color w:val="1B3A5C"/>
          <w:sz w:val="20"/>
          <w:szCs w:val="20"/>
        </w:rPr>
        <w:t xml:space="preserve">_m</w:t>
      </w:r>
      <w:r>
        <w:rPr>
          <w:rFonts w:ascii="Arial" w:cs="Arial" w:eastAsia="Arial" w:hAnsi="Arial"/>
          <w:color w:val="1B3A5C"/>
          <w:sz w:val="24"/>
          <w:szCs w:val="24"/>
        </w:rPr>
        <w:t xml:space="preserve"> / 2 = 0.1575</w:t>
      </w:r>
    </w:p>
    <w:p>
      <w:pPr>
        <w:spacing w:after="160" w:line="300"/>
        <w:jc w:val="left"/>
      </w:pPr>
      <w:r>
        <w:rPr>
          <w:rFonts w:ascii="Arial" w:cs="Arial" w:eastAsia="Arial" w:hAnsi="Arial"/>
          <w:color w:val="333333"/>
          <w:sz w:val="22"/>
          <w:szCs w:val="22"/>
        </w:rPr>
        <w:t xml:space="preserve">This relationship states that gravitational energy partitions equally between two channels during structure formation: one half curves spacetime (geometric entropy), while the other half thermalizes matter into classical states through decoherence (informational entropy). The virial theorem captures this partition through a single equation: 2K + U = 0.</w:t>
      </w:r>
    </w:p>
    <w:p>
      <w:pPr>
        <w:spacing w:after="160" w:line="300"/>
        <w:jc w:val="left"/>
      </w:pPr>
      <w:r>
        <w:rPr>
          <w:rFonts w:ascii="Arial" w:cs="Arial" w:eastAsia="Arial" w:hAnsi="Arial"/>
          <w:color w:val="333333"/>
          <w:sz w:val="22"/>
          <w:szCs w:val="22"/>
        </w:rPr>
        <w:t xml:space="preserve">This coupling has been validated at cosmological scales against Planck 2018 data to 0.3% precision. But if IAM’s mechanism is correct — if the virial partition truly governs the relationship between geometry and information at all scales — then the same partition should be observable everywhere gravity produces decoherence: from black hole horizons to galaxy clusters to laboratory quantum systems.</w:t>
      </w:r>
    </w:p>
    <w:p>
      <w:pPr>
        <w:spacing w:after="160" w:line="300"/>
      </w:pPr>
      <w:r>
        <w:rPr>
          <w:rFonts w:ascii="Arial" w:cs="Arial" w:eastAsia="Arial" w:hAnsi="Arial"/>
          <w:color w:val="333333"/>
          <w:sz w:val="22"/>
          <w:szCs w:val="22"/>
        </w:rPr>
        <w:t xml:space="preserve">The purpose of this roadmap is to identify every scale and domain where the virial partition can be independently tested using </w:t>
      </w:r>
      <w:r>
        <w:rPr>
          <w:rFonts w:ascii="Arial" w:cs="Arial" w:eastAsia="Arial" w:hAnsi="Arial"/>
          <w:b/>
          <w:bCs/>
          <w:color w:val="333333"/>
          <w:sz w:val="22"/>
          <w:szCs w:val="22"/>
        </w:rPr>
        <w:t xml:space="preserve">existing data</w:t>
      </w:r>
      <w:r>
        <w:rPr>
          <w:rFonts w:ascii="Arial" w:cs="Arial" w:eastAsia="Arial" w:hAnsi="Arial"/>
          <w:color w:val="333333"/>
          <w:sz w:val="22"/>
          <w:szCs w:val="22"/>
        </w:rPr>
        <w:t xml:space="preserve">, map the specific predictions IAM makes at each scale, and establish a systematic validation program that tests the </w:t>
      </w:r>
      <w:r>
        <w:rPr>
          <w:rFonts w:ascii="Arial" w:cs="Arial" w:eastAsia="Arial" w:hAnsi="Arial"/>
          <w:i/>
          <w:iCs/>
          <w:color w:val="333333"/>
          <w:sz w:val="22"/>
          <w:szCs w:val="22"/>
        </w:rPr>
        <w:t xml:space="preserve">pattern</w:t>
      </w:r>
      <w:r>
        <w:rPr>
          <w:rFonts w:ascii="Arial" w:cs="Arial" w:eastAsia="Arial" w:hAnsi="Arial"/>
          <w:color w:val="333333"/>
          <w:sz w:val="22"/>
          <w:szCs w:val="22"/>
        </w:rPr>
        <w:t xml:space="preserve"> across 20+ orders of magnitude — not just the number at one scale.</w:t>
      </w:r>
    </w:p>
    <w:p>
      <w:pPr>
        <w:pStyle w:val="Heading1"/>
        <w:spacing w:before="360" w:after="200"/>
      </w:pPr>
      <w:r>
        <w:rPr>
          <w:rFonts w:ascii="Arial" w:cs="Arial" w:eastAsia="Arial" w:hAnsi="Arial"/>
          <w:b/>
          <w:bCs/>
          <w:color w:val="1B3A5C"/>
          <w:sz w:val="30"/>
          <w:szCs w:val="30"/>
        </w:rPr>
        <w:t xml:space="preserve">2. What the Virial Theorem Actually Says in IAM</w:t>
      </w:r>
    </w:p>
    <w:p>
      <w:pPr>
        <w:spacing w:after="160" w:line="300"/>
        <w:jc w:val="left"/>
      </w:pPr>
      <w:r>
        <w:rPr>
          <w:rFonts w:ascii="Arial" w:cs="Arial" w:eastAsia="Arial" w:hAnsi="Arial"/>
          <w:color w:val="333333"/>
          <w:sz w:val="22"/>
          <w:szCs w:val="22"/>
        </w:rPr>
        <w:t xml:space="preserve">The standard virial theorem (Clausius, 1870) states that for a gravitationally bound system in equilibrium, the time-averaged kinetic energy equals half the magnitude of the time-averaged gravitational potential energy. Every astrophysics textbook presents this as an energy balance equation and stops there.</w:t>
      </w:r>
    </w:p>
    <w:p>
      <w:pPr>
        <w:spacing w:after="160" w:line="300"/>
        <w:jc w:val="left"/>
      </w:pPr>
      <w:r>
        <w:rPr>
          <w:rFonts w:ascii="Arial" w:cs="Arial" w:eastAsia="Arial" w:hAnsi="Arial"/>
          <w:color w:val="333333"/>
          <w:sz w:val="22"/>
          <w:szCs w:val="22"/>
        </w:rPr>
        <w:t xml:space="preserve">IAM reinterprets this as a partition function between two physically distinct outputs of gravitational collapse:</w:t>
      </w:r>
    </w:p>
    <w:p>
      <w:pPr>
        <w:spacing w:after="140" w:line="300"/>
      </w:pPr>
      <w:r>
        <w:rPr>
          <w:rFonts w:ascii="Arial" w:cs="Arial" w:eastAsia="Arial" w:hAnsi="Arial"/>
          <w:b/>
          <w:bCs/>
          <w:color w:val="1B3A5C"/>
          <w:sz w:val="22"/>
          <w:szCs w:val="22"/>
        </w:rPr>
        <w:t xml:space="preserve">Channel 1 — Geometric (S_geo): </w:t>
      </w:r>
      <w:r>
        <w:rPr>
          <w:rFonts w:ascii="Arial" w:cs="Arial" w:eastAsia="Arial" w:hAnsi="Arial"/>
          <w:color w:val="333333"/>
          <w:sz w:val="22"/>
          <w:szCs w:val="22"/>
        </w:rPr>
        <w:t xml:space="preserve">Half the gravitational energy curves spacetime. This is the standard general relativistic channel, captured by the Bekenstein–Hawking area–entropy relation S = A/4G. Jacobson (1995) showed this channel reproduces the Einstein field equations.</w:t>
      </w:r>
    </w:p>
    <w:p>
      <w:pPr>
        <w:spacing w:after="140" w:line="300"/>
      </w:pPr>
      <w:r>
        <w:rPr>
          <w:rFonts w:ascii="Arial" w:cs="Arial" w:eastAsia="Arial" w:hAnsi="Arial"/>
          <w:b/>
          <w:bCs/>
          <w:color w:val="1B3A5C"/>
          <w:sz w:val="22"/>
          <w:szCs w:val="22"/>
        </w:rPr>
        <w:t xml:space="preserve">Channel 2 — Informational (S_info): </w:t>
      </w:r>
      <w:r>
        <w:rPr>
          <w:rFonts w:ascii="Arial" w:cs="Arial" w:eastAsia="Arial" w:hAnsi="Arial"/>
          <w:color w:val="333333"/>
          <w:sz w:val="22"/>
          <w:szCs w:val="22"/>
        </w:rPr>
        <w:t xml:space="preserve">The other half thermalizes constituent particles into random motions, driving quantum decoherence and producing irreversible classical information. Each decoherence event creates bits that must be encoded on the nearest horizon surface (holographic principle). The Landauer cost of this encoding modifies the entropy functional, changing the field equations.</w:t>
      </w:r>
    </w:p>
    <w:p>
      <w:pPr>
        <w:spacing w:after="160" w:line="300"/>
        <w:jc w:val="left"/>
      </w:pPr>
      <w:r>
        <w:rPr>
          <w:rFonts w:ascii="Arial" w:cs="Arial" w:eastAsia="Arial" w:hAnsi="Arial"/>
          <w:color w:val="333333"/>
          <w:sz w:val="22"/>
          <w:szCs w:val="22"/>
        </w:rPr>
        <w:t xml:space="preserve">The complete expression at cosmological scales is:</w:t>
      </w:r>
    </w:p>
    <w:p>
      <w:pPr>
        <w:spacing w:before="160" w:after="160"/>
        <w:jc w:val="center"/>
      </w:pPr>
      <w:r>
        <w:rPr>
          <w:rFonts w:ascii="Arial" w:cs="Arial" w:eastAsia="Arial" w:hAnsi="Arial"/>
          <w:color w:val="1B3A5C"/>
          <w:sz w:val="22"/>
          <w:szCs w:val="22"/>
        </w:rPr>
        <w:t xml:space="preserve">β_m = Ω_m × f_coll × η_virial = 0.315 × 0.62 × 0.81 = Ω_m / 2</w:t>
      </w:r>
    </w:p>
    <w:p>
      <w:pPr>
        <w:spacing w:after="160" w:line="300"/>
        <w:jc w:val="left"/>
      </w:pPr>
      <w:r>
        <w:rPr>
          <w:rFonts w:ascii="Arial" w:cs="Arial" w:eastAsia="Arial" w:hAnsi="Arial"/>
          <w:color w:val="333333"/>
          <w:sz w:val="22"/>
          <w:szCs w:val="22"/>
        </w:rPr>
        <w:t xml:space="preserve">Where f_coll is the collapsed fraction of matter (from Sheth–Tormen and Tinker mass functions) and η_virial ≈ 0.81 is the virial efficiency — the fraction of collapsed matter’s gravitational energy that goes into information-producing decoherence versus bulk kinetic energy and other non-information channels.</w:t>
      </w:r>
    </w:p>
    <w:p>
      <w:pPr>
        <w:spacing w:after="160" w:line="300"/>
      </w:pPr>
      <w:r>
        <w:rPr>
          <w:rFonts w:ascii="Arial" w:cs="Arial" w:eastAsia="Arial" w:hAnsi="Arial"/>
          <w:b/>
          <w:bCs/>
          <w:color w:val="333333"/>
          <w:sz w:val="22"/>
          <w:szCs w:val="22"/>
        </w:rPr>
        <w:t xml:space="preserve">Critical nuance: </w:t>
      </w:r>
      <w:r>
        <w:rPr>
          <w:rFonts w:ascii="Arial" w:cs="Arial" w:eastAsia="Arial" w:hAnsi="Arial"/>
          <w:color w:val="333333"/>
          <w:sz w:val="22"/>
          <w:szCs w:val="22"/>
        </w:rPr>
        <w:t xml:space="preserve">The ratio β_m/Ω_m = 1/2 is not an exact fundamental constant. It is the product of two astrophysical quantities (f_coll × η) that happen to equal 1/2 to remarkable precision at cosmological scales. At other scales, the sub-components may differ while the virial framework — that gravity partitions energy between geometry and information — remains the organizing principle.</w:t>
      </w:r>
    </w:p>
    <w:p>
      <w:pPr>
        <w:pStyle w:val="Heading1"/>
        <w:spacing w:before="360" w:after="200"/>
      </w:pPr>
      <w:r>
        <w:rPr>
          <w:rFonts w:ascii="Arial" w:cs="Arial" w:eastAsia="Arial" w:hAnsi="Arial"/>
          <w:b/>
          <w:bCs/>
          <w:color w:val="1B3A5C"/>
          <w:sz w:val="30"/>
          <w:szCs w:val="30"/>
        </w:rPr>
        <w:t xml:space="preserve">3. The Cross-Scale Validation Matrix</w:t>
      </w:r>
    </w:p>
    <w:p>
      <w:pPr>
        <w:spacing w:after="160" w:line="300"/>
        <w:jc w:val="left"/>
      </w:pPr>
      <w:r>
        <w:rPr>
          <w:rFonts w:ascii="Arial" w:cs="Arial" w:eastAsia="Arial" w:hAnsi="Arial"/>
          <w:color w:val="333333"/>
          <w:sz w:val="22"/>
          <w:szCs w:val="22"/>
        </w:rPr>
        <w:t xml:space="preserve">The following table maps every scale where the virial partition produces testable predictions. Each row represents an independent test using different data, different observables, and different physics — but all flowing from the same underlying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1700"/>
        <w:gridCol w:w="2160"/>
      </w:tblGrid>
      <w:tr>
        <w:tc>
          <w:tcPr>
            <w:tcW w:type="dxa" w:w="15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Scale</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Observable</w:t>
            </w:r>
          </w:p>
        </w:tc>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IAM Prediction</w:t>
            </w:r>
          </w:p>
        </w:tc>
        <w:tc>
          <w:tcPr>
            <w:tcW w:type="dxa" w:w="17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Source</w:t>
            </w:r>
          </w:p>
        </w:tc>
        <w:tc>
          <w:tcPr>
            <w:tcW w:type="dxa" w:w="21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1B3A5C"/>
                <w:sz w:val="20"/>
                <w:szCs w:val="20"/>
              </w:rPr>
              <w:t xml:space="preserve">Cosmic Horizon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μ₀, Σ₀</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μ₀ = −0.136, Σ = 1 (zero parameters)</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Planck, Euclid, DESI</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C5932A"/>
                <w:sz w:val="20"/>
                <w:szCs w:val="20"/>
              </w:rPr>
              <w:t xml:space="preserve">Validated (Planck) | Euclid 2026–27</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1B3A5C"/>
                <w:sz w:val="20"/>
                <w:szCs w:val="20"/>
              </w:rPr>
              <w:t xml:space="preserve">Cosmic Horizon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σ₈ suppression</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σ₈ = 0.800 (1.36% below ΛCDM)</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KiDS, DES, Planck</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2E7D32"/>
                <w:sz w:val="20"/>
                <w:szCs w:val="20"/>
              </w:rPr>
              <w:t xml:space="preserve">Consistent NOW</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1B3A5C"/>
                <w:sz w:val="20"/>
                <w:szCs w:val="20"/>
              </w:rPr>
              <w:t xml:space="preserve">Cosmic Horizon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H₀ sector split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67.16 (photon) / 72.26 (matter)</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Planck, SH0ES, JWST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2E7D32"/>
                <w:sz w:val="20"/>
                <w:szCs w:val="20"/>
              </w:rPr>
              <w:t xml:space="preserve">Consistent NOW</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1B3A5C"/>
                <w:sz w:val="20"/>
                <w:szCs w:val="20"/>
              </w:rPr>
              <w:t xml:space="preserve">Galaxy Clusters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Lensing–dynamics mass ratio</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M_dyn/M_lens = μ(z_cluster)</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Published cluster catalogs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2E7D32"/>
                <w:sz w:val="20"/>
                <w:szCs w:val="20"/>
              </w:rPr>
              <w:t xml:space="preserve">Testable NOW</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1B3A5C"/>
                <w:sz w:val="20"/>
                <w:szCs w:val="20"/>
              </w:rPr>
              <w:t xml:space="preserve">Galaxy Clusters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Velocity dispersion profiles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Virial η measurable per cluster</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SDSS, eROSITA</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2E7D32"/>
                <w:sz w:val="20"/>
                <w:szCs w:val="20"/>
              </w:rPr>
              <w:t xml:space="preserve">Testable NOW</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1B3A5C"/>
                <w:sz w:val="20"/>
                <w:szCs w:val="20"/>
              </w:rPr>
              <w:t xml:space="preserve">Galaxies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M–σ relation</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M_BH ∝ σ⁴ from info budget</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Published M–σ catalogs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2E7D32"/>
                <w:sz w:val="20"/>
                <w:szCs w:val="20"/>
              </w:rPr>
              <w:t xml:space="preserve">Testable NOW</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1B3A5C"/>
                <w:sz w:val="20"/>
                <w:szCs w:val="20"/>
              </w:rPr>
              <w:t xml:space="preserve">Galaxies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BH mass growth rate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dM_BH/dt ∝ info production rate</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AGN surveys, SDSS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2E7D32"/>
                <w:sz w:val="20"/>
                <w:szCs w:val="20"/>
              </w:rPr>
              <w:t xml:space="preserve">Testable NOW</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1B3A5C"/>
                <w:sz w:val="20"/>
                <w:szCs w:val="20"/>
              </w:rPr>
              <w:t xml:space="preserve">Stellar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Gravitational wave sirens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H₀ ≈ 72–73 (matter sector)</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LIGO O4/O5</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3A6B8C"/>
                <w:sz w:val="20"/>
                <w:szCs w:val="20"/>
              </w:rPr>
              <w:t xml:space="preserve">Data arriving 2025–27</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1B3A5C"/>
                <w:sz w:val="20"/>
                <w:szCs w:val="20"/>
              </w:rPr>
              <w:t xml:space="preserve">BH Horizons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Two-horizon transition</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A_cosmic overtakes ΣA_BH at z_cross</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BH mass functions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2E7D32"/>
                <w:sz w:val="20"/>
                <w:szCs w:val="20"/>
              </w:rPr>
              <w:t xml:space="preserve">Calculable NOW</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1B3A5C"/>
                <w:sz w:val="20"/>
                <w:szCs w:val="20"/>
              </w:rPr>
              <w:t xml:space="preserve">BH Horizons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Hawking = Stefan–Boltzmann</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T_BH radiation spectrum</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Theory + future obs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2E7D32"/>
                <w:sz w:val="20"/>
                <w:szCs w:val="20"/>
              </w:rPr>
              <w:t xml:space="preserve">Derivable NOW</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1B3A5C"/>
                <w:sz w:val="20"/>
                <w:szCs w:val="20"/>
              </w:rPr>
              <w:t xml:space="preserve">Laboratory</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Decoherence rate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Gravitational decoherence timescale from same S_info</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Diósi–Penrose experiments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3A6B8C"/>
                <w:sz w:val="20"/>
                <w:szCs w:val="20"/>
              </w:rPr>
              <w:t xml:space="preserve">Experiments in progress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1B3A5C"/>
                <w:sz w:val="20"/>
                <w:szCs w:val="20"/>
              </w:rPr>
              <w:t xml:space="preserve">Quantum</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Photon coherence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Σ = 1 → no decoherence on null geodesics</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Quantum optics labs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2E7D32"/>
                <w:sz w:val="20"/>
                <w:szCs w:val="20"/>
              </w:rPr>
              <w:t xml:space="preserve">Testable NOW</w:t>
            </w:r>
          </w:p>
        </w:tc>
      </w:tr>
    </w:tbl>
    <w:p>
      <w:pPr>
        <w:spacing w:after="120"/>
      </w:pPr>
    </w:p>
    <w:p>
      <w:pPr>
        <w:spacing w:after="160" w:line="300"/>
        <w:ind w:left="360"/>
      </w:pPr>
      <w:r>
        <w:rPr>
          <w:rFonts w:ascii="Arial" w:cs="Arial" w:eastAsia="Arial" w:hAnsi="Arial"/>
          <w:i/>
          <w:iCs/>
          <w:color w:val="555555"/>
          <w:sz w:val="21"/>
          <w:szCs w:val="21"/>
        </w:rPr>
        <w:t xml:space="preserve">Each row is an independent test. If IAM’s virial partition is correct, ALL rows should confirm the pattern. If any single row definitively contradicts the framework, the mechanism needs revision at that scale.</w:t>
      </w:r>
    </w:p>
    <w:p>
      <w:pPr>
        <w:pStyle w:val="Heading1"/>
        <w:spacing w:before="360" w:after="200"/>
      </w:pPr>
      <w:r>
        <w:rPr>
          <w:rFonts w:ascii="Arial" w:cs="Arial" w:eastAsia="Arial" w:hAnsi="Arial"/>
          <w:b/>
          <w:bCs/>
          <w:color w:val="1B3A5C"/>
          <w:sz w:val="30"/>
          <w:szCs w:val="30"/>
        </w:rPr>
        <w:t xml:space="preserve">4. Detailed Test Specifications</w:t>
      </w:r>
    </w:p>
    <w:p>
      <w:pPr>
        <w:pStyle w:val="Heading2"/>
        <w:spacing w:before="280" w:after="160"/>
      </w:pPr>
      <w:r>
        <w:rPr>
          <w:rFonts w:ascii="Arial" w:cs="Arial" w:eastAsia="Arial" w:hAnsi="Arial"/>
          <w:b/>
          <w:bCs/>
          <w:color w:val="3A6B8C"/>
          <w:sz w:val="26"/>
          <w:szCs w:val="26"/>
        </w:rPr>
        <w:t xml:space="preserve">4.1 Galaxy Cluster Lensing–Dynamics Discrepancy</w:t>
      </w:r>
    </w:p>
    <w:p>
      <w:pPr>
        <w:spacing w:after="140" w:line="300"/>
      </w:pPr>
      <w:r>
        <w:rPr>
          <w:rFonts w:ascii="Arial" w:cs="Arial" w:eastAsia="Arial" w:hAnsi="Arial"/>
          <w:b/>
          <w:bCs/>
          <w:color w:val="1B3A5C"/>
          <w:sz w:val="22"/>
          <w:szCs w:val="22"/>
        </w:rPr>
        <w:t xml:space="preserve">The test: </w:t>
      </w:r>
      <w:r>
        <w:rPr>
          <w:rFonts w:ascii="Arial" w:cs="Arial" w:eastAsia="Arial" w:hAnsi="Arial"/>
          <w:color w:val="333333"/>
          <w:sz w:val="22"/>
          <w:szCs w:val="22"/>
        </w:rPr>
        <w:t xml:space="preserve">Galaxy cluster masses measured via gravitational lensing (photon deflection, Σ = 1) should systematically exceed masses measured via galaxy velocity dispersions (matter dynamics, μ &lt; 1). The ratio should equal μ(z) at the cluster redshift.</w:t>
      </w:r>
    </w:p>
    <w:p>
      <w:pPr>
        <w:spacing w:after="140" w:line="300"/>
      </w:pPr>
      <w:r>
        <w:rPr>
          <w:rFonts w:ascii="Arial" w:cs="Arial" w:eastAsia="Arial" w:hAnsi="Arial"/>
          <w:b/>
          <w:bCs/>
          <w:color w:val="1B3A5C"/>
          <w:sz w:val="22"/>
          <w:szCs w:val="22"/>
        </w:rPr>
        <w:t xml:space="preserve">Why this works: </w:t>
      </w:r>
      <w:r>
        <w:rPr>
          <w:rFonts w:ascii="Arial" w:cs="Arial" w:eastAsia="Arial" w:hAnsi="Arial"/>
          <w:color w:val="333333"/>
          <w:sz w:val="22"/>
          <w:szCs w:val="22"/>
        </w:rPr>
        <w:t xml:space="preserve">Lensing measures the gravitational potential through photon geodesics, which IAM says are unmodified (Σ = 1). Dynamical masses use galaxy velocities (matter on timelike worldlines, μ &lt; 1), which experience weakened effective gravity. The discrepancy IS the dual-sector signature.</w:t>
      </w:r>
    </w:p>
    <w:p>
      <w:pPr>
        <w:spacing w:after="140" w:line="300"/>
      </w:pPr>
      <w:r>
        <w:rPr>
          <w:rFonts w:ascii="Arial" w:cs="Arial" w:eastAsia="Arial" w:hAnsi="Arial"/>
          <w:b/>
          <w:bCs/>
          <w:color w:val="1B3A5C"/>
          <w:sz w:val="22"/>
          <w:szCs w:val="22"/>
        </w:rPr>
        <w:t xml:space="preserve">Specific prediction: </w:t>
      </w:r>
      <w:r>
        <w:rPr>
          <w:rFonts w:ascii="Arial" w:cs="Arial" w:eastAsia="Arial" w:hAnsi="Arial"/>
          <w:color w:val="333333"/>
          <w:sz w:val="22"/>
          <w:szCs w:val="22"/>
        </w:rPr>
        <w:t xml:space="preserve">At z = 0.2 (typical cluster redshift), μ ≈ 0.93. Therefore M_dyn/M_lens ≈ 0.93 — dynamical masses should be ~7% lower than lensing masses, systematically, across the entire cluster population.</w:t>
      </w:r>
    </w:p>
    <w:p>
      <w:pPr>
        <w:spacing w:after="140" w:line="300"/>
      </w:pPr>
      <w:r>
        <w:rPr>
          <w:rFonts w:ascii="Arial" w:cs="Arial" w:eastAsia="Arial" w:hAnsi="Arial"/>
          <w:b/>
          <w:bCs/>
          <w:color w:val="1B3A5C"/>
          <w:sz w:val="22"/>
          <w:szCs w:val="22"/>
        </w:rPr>
        <w:t xml:space="preserve">Existing data: </w:t>
      </w:r>
      <w:r>
        <w:rPr>
          <w:rFonts w:ascii="Arial" w:cs="Arial" w:eastAsia="Arial" w:hAnsi="Arial"/>
          <w:color w:val="333333"/>
          <w:sz w:val="22"/>
          <w:szCs w:val="22"/>
        </w:rPr>
        <w:t xml:space="preserve">The Canadian Cluster Comparison Project, Weighing the Giants, LoCuSS, and Planck SZ cluster catalogs all contain both lensing and dynamical mass estimates. The discrepancy has been observed and attributed to systematic errors or non-equilibrium effects. IAM says it’s physics.</w:t>
      </w:r>
    </w:p>
    <w:p>
      <w:pPr>
        <w:spacing w:after="140" w:line="300"/>
      </w:pPr>
      <w:r>
        <w:rPr>
          <w:rFonts w:ascii="Arial" w:cs="Arial" w:eastAsia="Arial" w:hAnsi="Arial"/>
          <w:b/>
          <w:bCs/>
          <w:color w:val="1B3A5C"/>
          <w:sz w:val="22"/>
          <w:szCs w:val="22"/>
        </w:rPr>
        <w:t xml:space="preserve">What to compute: </w:t>
      </w:r>
      <w:r>
        <w:rPr>
          <w:rFonts w:ascii="Arial" w:cs="Arial" w:eastAsia="Arial" w:hAnsi="Arial"/>
          <w:color w:val="333333"/>
          <w:sz w:val="22"/>
          <w:szCs w:val="22"/>
        </w:rPr>
        <w:t xml:space="preserve">Download published cluster catalogs with both M_lens and M_dyn. Compute &lt;M_dyn/M_lens&gt; as a function of redshift. Compare to μ(z) = H²_ΛCDM(z) / H²_IAM(z). If the ratio tracks μ(z), that’s the dual-sector split confirmed at cluster scales.</w:t>
      </w:r>
    </w:p>
    <w:p>
      <w:pPr>
        <w:spacing w:after="160" w:line="300"/>
        <w:ind w:left="360"/>
      </w:pPr>
      <w:r>
        <w:rPr>
          <w:rFonts w:ascii="Arial" w:cs="Arial" w:eastAsia="Arial" w:hAnsi="Arial"/>
          <w:i/>
          <w:iCs/>
          <w:color w:val="555555"/>
          <w:sz w:val="21"/>
          <w:szCs w:val="21"/>
        </w:rPr>
        <w:t xml:space="preserve">This test requires no new observations and no simulations. It is a reanalysis of published data through the IAM lens. Paper 6 in the publication strategy.</w:t>
      </w:r>
    </w:p>
    <w:p>
      <w:pPr>
        <w:pStyle w:val="Heading2"/>
        <w:spacing w:before="280" w:after="160"/>
      </w:pPr>
      <w:r>
        <w:rPr>
          <w:rFonts w:ascii="Arial" w:cs="Arial" w:eastAsia="Arial" w:hAnsi="Arial"/>
          <w:b/>
          <w:bCs/>
          <w:color w:val="3A6B8C"/>
          <w:sz w:val="26"/>
          <w:szCs w:val="26"/>
        </w:rPr>
        <w:t xml:space="preserve">4.2 The M–σ Relation from the Information Budget</w:t>
      </w:r>
    </w:p>
    <w:p>
      <w:pPr>
        <w:spacing w:after="140" w:line="300"/>
      </w:pPr>
      <w:r>
        <w:rPr>
          <w:rFonts w:ascii="Arial" w:cs="Arial" w:eastAsia="Arial" w:hAnsi="Arial"/>
          <w:b/>
          <w:bCs/>
          <w:color w:val="1B3A5C"/>
          <w:sz w:val="22"/>
          <w:szCs w:val="22"/>
        </w:rPr>
        <w:t xml:space="preserve">The test: </w:t>
      </w:r>
      <w:r>
        <w:rPr>
          <w:rFonts w:ascii="Arial" w:cs="Arial" w:eastAsia="Arial" w:hAnsi="Arial"/>
          <w:color w:val="333333"/>
          <w:sz w:val="22"/>
          <w:szCs w:val="22"/>
        </w:rPr>
        <w:t xml:space="preserve">The tight empirical correlation between supermassive black hole mass (M_BH) and host galaxy stellar velocity dispersion (σ) should be derivable from IAM’s information budget.</w:t>
      </w:r>
    </w:p>
    <w:p>
      <w:pPr>
        <w:spacing w:after="140" w:line="300"/>
      </w:pPr>
      <w:r>
        <w:rPr>
          <w:rFonts w:ascii="Arial" w:cs="Arial" w:eastAsia="Arial" w:hAnsi="Arial"/>
          <w:b/>
          <w:bCs/>
          <w:color w:val="1B3A5C"/>
          <w:sz w:val="22"/>
          <w:szCs w:val="22"/>
        </w:rPr>
        <w:t xml:space="preserve">Why this works: </w:t>
      </w:r>
      <w:r>
        <w:rPr>
          <w:rFonts w:ascii="Arial" w:cs="Arial" w:eastAsia="Arial" w:hAnsi="Arial"/>
          <w:color w:val="333333"/>
          <w:sz w:val="22"/>
          <w:szCs w:val="22"/>
        </w:rPr>
        <w:t xml:space="preserve">In IAM, the black hole horizon is a local encoding surface. The galaxy’s velocity dispersion σ is a direct measure of the virial energy — the thermalized kinetic channel that produces decoherence. The M–σ relation should therefore encode the virial partition: the BH mass (encoding surface area) scales with the information production rate (σ) in the host galaxy.</w:t>
      </w:r>
    </w:p>
    <w:p>
      <w:pPr>
        <w:spacing w:after="140" w:line="300"/>
      </w:pPr>
      <w:r>
        <w:rPr>
          <w:rFonts w:ascii="Arial" w:cs="Arial" w:eastAsia="Arial" w:hAnsi="Arial"/>
          <w:b/>
          <w:bCs/>
          <w:color w:val="1B3A5C"/>
          <w:sz w:val="22"/>
          <w:szCs w:val="22"/>
        </w:rPr>
        <w:t xml:space="preserve">Specific prediction: </w:t>
      </w:r>
      <w:r>
        <w:rPr>
          <w:rFonts w:ascii="Arial" w:cs="Arial" w:eastAsia="Arial" w:hAnsi="Arial"/>
          <w:color w:val="333333"/>
          <w:sz w:val="22"/>
          <w:szCs w:val="22"/>
        </w:rPr>
        <w:t xml:space="preserve">The virial theorem gives K = σ²M_*/2 for the kinetic energy budget. The Landauer cost at the BH horizon temperature T_BH = ħc³/(8πGM_BH k_B) sets the encoding rate. The information balance — information produced by virial thermalization must equal information accommodated by BH horizon growth — should yield M_BH ∝ σ⁴, matching the observed M–σ slope.</w:t>
      </w:r>
    </w:p>
    <w:p>
      <w:pPr>
        <w:spacing w:after="140" w:line="300"/>
      </w:pPr>
      <w:r>
        <w:rPr>
          <w:rFonts w:ascii="Arial" w:cs="Arial" w:eastAsia="Arial" w:hAnsi="Arial"/>
          <w:b/>
          <w:bCs/>
          <w:color w:val="1B3A5C"/>
          <w:sz w:val="22"/>
          <w:szCs w:val="22"/>
        </w:rPr>
        <w:t xml:space="preserve">Existing data: </w:t>
      </w:r>
      <w:r>
        <w:rPr>
          <w:rFonts w:ascii="Arial" w:cs="Arial" w:eastAsia="Arial" w:hAnsi="Arial"/>
          <w:color w:val="333333"/>
          <w:sz w:val="22"/>
          <w:szCs w:val="22"/>
        </w:rPr>
        <w:t xml:space="preserve">Hundreds of galaxies with measured M_BH and σ from HST, Keck, Gemini, and ALMA observations. The McConnell &amp; Ma (2013) and Kormendy &amp; Ho (2013) compilations provide comprehensive catalogs.</w:t>
      </w:r>
    </w:p>
    <w:p>
      <w:pPr>
        <w:spacing w:after="140" w:line="300"/>
      </w:pPr>
      <w:r>
        <w:rPr>
          <w:rFonts w:ascii="Arial" w:cs="Arial" w:eastAsia="Arial" w:hAnsi="Arial"/>
          <w:b/>
          <w:bCs/>
          <w:color w:val="1B3A5C"/>
          <w:sz w:val="22"/>
          <w:szCs w:val="22"/>
        </w:rPr>
        <w:t xml:space="preserve">What to compute: </w:t>
      </w:r>
      <w:r>
        <w:rPr>
          <w:rFonts w:ascii="Arial" w:cs="Arial" w:eastAsia="Arial" w:hAnsi="Arial"/>
          <w:color w:val="333333"/>
          <w:sz w:val="22"/>
          <w:szCs w:val="22"/>
        </w:rPr>
        <w:t xml:space="preserve">Derive M_BH(σ) from the information budget using the virial partition and Landauer encoding cost. Compare the predicted slope, normalization, and scatter to the observed M–σ relation. If the same virial partition that gives β_m = Ω_m/2 at cosmological scales also gives the correct M–σ normalization at galactic scales, that’s the virial theorem confirmed across ~10 orders of magnitude.</w:t>
      </w:r>
    </w:p>
    <w:p>
      <w:pPr>
        <w:spacing w:after="160" w:line="300"/>
        <w:ind w:left="360"/>
      </w:pPr>
      <w:r>
        <w:rPr>
          <w:rFonts w:ascii="Arial" w:cs="Arial" w:eastAsia="Arial" w:hAnsi="Arial"/>
          <w:i/>
          <w:iCs/>
          <w:color w:val="555555"/>
          <w:sz w:val="21"/>
          <w:szCs w:val="21"/>
        </w:rPr>
        <w:t xml:space="preserve">Paper 9 in the publication strategy. Laptop-only calculation using published catalogs.</w:t>
      </w:r>
    </w:p>
    <w:p>
      <w:pPr>
        <w:pStyle w:val="Heading2"/>
        <w:spacing w:before="280" w:after="160"/>
      </w:pPr>
      <w:r>
        <w:rPr>
          <w:rFonts w:ascii="Arial" w:cs="Arial" w:eastAsia="Arial" w:hAnsi="Arial"/>
          <w:b/>
          <w:bCs/>
          <w:color w:val="3A6B8C"/>
          <w:sz w:val="26"/>
          <w:szCs w:val="26"/>
        </w:rPr>
        <w:t xml:space="preserve">4.3 Black Hole Encoding Surfaces and the Two-Horizon Transition</w:t>
      </w:r>
    </w:p>
    <w:p>
      <w:pPr>
        <w:spacing w:after="140" w:line="300"/>
      </w:pPr>
      <w:r>
        <w:rPr>
          <w:rFonts w:ascii="Arial" w:cs="Arial" w:eastAsia="Arial" w:hAnsi="Arial"/>
          <w:b/>
          <w:bCs/>
          <w:color w:val="1B3A5C"/>
          <w:sz w:val="22"/>
          <w:szCs w:val="22"/>
        </w:rPr>
        <w:t xml:space="preserve">The test: </w:t>
      </w:r>
      <w:r>
        <w:rPr>
          <w:rFonts w:ascii="Arial" w:cs="Arial" w:eastAsia="Arial" w:hAnsi="Arial"/>
          <w:color w:val="333333"/>
          <w:sz w:val="22"/>
          <w:szCs w:val="22"/>
        </w:rPr>
        <w:t xml:space="preserve">In the early universe, black hole horizons dominated the total encoding surface area. As the cosmic horizon grew, it overtook the sum of all BH horizons. This crossover redshift should be calculable from published BH mass functions.</w:t>
      </w:r>
    </w:p>
    <w:p>
      <w:pPr>
        <w:spacing w:after="140" w:line="300"/>
      </w:pPr>
      <w:r>
        <w:rPr>
          <w:rFonts w:ascii="Arial" w:cs="Arial" w:eastAsia="Arial" w:hAnsi="Arial"/>
          <w:b/>
          <w:bCs/>
          <w:color w:val="1B3A5C"/>
          <w:sz w:val="22"/>
          <w:szCs w:val="22"/>
        </w:rPr>
        <w:t xml:space="preserve">Why this works: </w:t>
      </w:r>
      <w:r>
        <w:rPr>
          <w:rFonts w:ascii="Arial" w:cs="Arial" w:eastAsia="Arial" w:hAnsi="Arial"/>
          <w:color w:val="333333"/>
          <w:sz w:val="22"/>
          <w:szCs w:val="22"/>
        </w:rPr>
        <w:t xml:space="preserve">IAM says information is encoded on the nearest horizon surface. In the early universe, BH horizons were the primary encoding surfaces (local information storage). As the cosmic horizon expanded, it became the dominant surface (global information storage). The transition between these regimes should match the epoch where the activation function E(a) transitions from negligible to significant.</w:t>
      </w:r>
    </w:p>
    <w:p>
      <w:pPr>
        <w:spacing w:after="140" w:line="300"/>
      </w:pPr>
      <w:r>
        <w:rPr>
          <w:rFonts w:ascii="Arial" w:cs="Arial" w:eastAsia="Arial" w:hAnsi="Arial"/>
          <w:b/>
          <w:bCs/>
          <w:color w:val="1B3A5C"/>
          <w:sz w:val="22"/>
          <w:szCs w:val="22"/>
        </w:rPr>
        <w:t xml:space="preserve">Specific prediction: </w:t>
      </w:r>
      <w:r>
        <w:rPr>
          <w:rFonts w:ascii="Arial" w:cs="Arial" w:eastAsia="Arial" w:hAnsi="Arial"/>
          <w:color w:val="333333"/>
          <w:sz w:val="22"/>
          <w:szCs w:val="22"/>
        </w:rPr>
        <w:t xml:space="preserve">Compute total BH horizon area A_BH(z) = Σ 4π r_s² integrated over the SMBH mass function plus stellar-mass BH population estimates. Compare to cosmic horizon area A_cosmic(z) = 4π/H²(z). The crossover redshift z_cross should correspond to the epoch where E(a) activates — roughly z ~ 1–2, matching the peak of cosmic star formation and structure assembly.</w:t>
      </w:r>
    </w:p>
    <w:p>
      <w:pPr>
        <w:spacing w:after="140" w:line="300"/>
      </w:pPr>
      <w:r>
        <w:rPr>
          <w:rFonts w:ascii="Arial" w:cs="Arial" w:eastAsia="Arial" w:hAnsi="Arial"/>
          <w:b/>
          <w:bCs/>
          <w:color w:val="1B3A5C"/>
          <w:sz w:val="22"/>
          <w:szCs w:val="22"/>
        </w:rPr>
        <w:t xml:space="preserve">Existing data: </w:t>
      </w:r>
      <w:r>
        <w:rPr>
          <w:rFonts w:ascii="Arial" w:cs="Arial" w:eastAsia="Arial" w:hAnsi="Arial"/>
          <w:color w:val="333333"/>
          <w:sz w:val="22"/>
          <w:szCs w:val="22"/>
        </w:rPr>
        <w:t xml:space="preserve">Shankar et al. (2009) SMBH mass function, stellar-mass BH population estimates from X-ray binary surveys, quasar luminosity functions from SDSS.</w:t>
      </w:r>
    </w:p>
    <w:p>
      <w:pPr>
        <w:spacing w:after="160" w:line="300"/>
        <w:ind w:left="360"/>
      </w:pPr>
      <w:r>
        <w:rPr>
          <w:rFonts w:ascii="Arial" w:cs="Arial" w:eastAsia="Arial" w:hAnsi="Arial"/>
          <w:i/>
          <w:iCs/>
          <w:color w:val="555555"/>
          <w:sz w:val="21"/>
          <w:szCs w:val="21"/>
        </w:rPr>
        <w:t xml:space="preserve">Paper 5 in the publication strategy. This connects the theory paper’s “What Remains” items 3 and 4.</w:t>
      </w:r>
    </w:p>
    <w:p>
      <w:pPr>
        <w:pStyle w:val="Heading2"/>
        <w:spacing w:before="280" w:after="160"/>
      </w:pPr>
      <w:r>
        <w:rPr>
          <w:rFonts w:ascii="Arial" w:cs="Arial" w:eastAsia="Arial" w:hAnsi="Arial"/>
          <w:b/>
          <w:bCs/>
          <w:color w:val="3A6B8C"/>
          <w:sz w:val="26"/>
          <w:szCs w:val="26"/>
        </w:rPr>
        <w:t xml:space="preserve">4.4 Gravitational Wave Standard Sirens</w:t>
      </w:r>
    </w:p>
    <w:p>
      <w:pPr>
        <w:spacing w:after="140" w:line="300"/>
      </w:pPr>
      <w:r>
        <w:rPr>
          <w:rFonts w:ascii="Arial" w:cs="Arial" w:eastAsia="Arial" w:hAnsi="Arial"/>
          <w:b/>
          <w:bCs/>
          <w:color w:val="1B3A5C"/>
          <w:sz w:val="22"/>
          <w:szCs w:val="22"/>
        </w:rPr>
        <w:t xml:space="preserve">The test: </w:t>
      </w:r>
      <w:r>
        <w:rPr>
          <w:rFonts w:ascii="Arial" w:cs="Arial" w:eastAsia="Arial" w:hAnsi="Arial"/>
          <w:color w:val="333333"/>
          <w:sz w:val="22"/>
          <w:szCs w:val="22"/>
        </w:rPr>
        <w:t xml:space="preserve">Binary neutron star mergers detected by LIGO/Virgo provide an independent measurement of H₀. These are massive objects on timelike worldlines — matter sector. IAM predicts they should yield H₀ ≈ 72–73 km/s/Mpc.</w:t>
      </w:r>
    </w:p>
    <w:p>
      <w:pPr>
        <w:spacing w:after="140" w:line="300"/>
      </w:pPr>
      <w:r>
        <w:rPr>
          <w:rFonts w:ascii="Arial" w:cs="Arial" w:eastAsia="Arial" w:hAnsi="Arial"/>
          <w:b/>
          <w:bCs/>
          <w:color w:val="1B3A5C"/>
          <w:sz w:val="22"/>
          <w:szCs w:val="22"/>
        </w:rPr>
        <w:t xml:space="preserve">Why this works: </w:t>
      </w:r>
      <w:r>
        <w:rPr>
          <w:rFonts w:ascii="Arial" w:cs="Arial" w:eastAsia="Arial" w:hAnsi="Arial"/>
          <w:color w:val="333333"/>
          <w:sz w:val="22"/>
          <w:szCs w:val="22"/>
        </w:rPr>
        <w:t xml:space="preserve">GW standard sirens measure luminosity distance from the gravitational wave signal (matter-sector, μ &lt; 1) combined with redshift from the electromagnetic counterpart. This is a pure matter-sector measurement independent of both the CMB (photon sector) and the traditional distance ladder.</w:t>
      </w:r>
    </w:p>
    <w:p>
      <w:pPr>
        <w:spacing w:after="140" w:line="300"/>
      </w:pPr>
      <w:r>
        <w:rPr>
          <w:rFonts w:ascii="Arial" w:cs="Arial" w:eastAsia="Arial" w:hAnsi="Arial"/>
          <w:b/>
          <w:bCs/>
          <w:color w:val="1B3A5C"/>
          <w:sz w:val="22"/>
          <w:szCs w:val="22"/>
        </w:rPr>
        <w:t xml:space="preserve">Current status: </w:t>
      </w:r>
      <w:r>
        <w:rPr>
          <w:rFonts w:ascii="Arial" w:cs="Arial" w:eastAsia="Arial" w:hAnsi="Arial"/>
          <w:color w:val="333333"/>
          <w:sz w:val="22"/>
          <w:szCs w:val="22"/>
        </w:rPr>
        <w:t xml:space="preserve">The single well-measured event (GW170817) gave H₀ = 70 +12/−8 km/s/Mpc — consistent with both sectors but too imprecise to distinguish. LIGO O4 and O5 runs (2024–2027) should accumulate 10–50 more events, narrowing the uncertainty to ~2 km/s/Mpc.</w:t>
      </w:r>
    </w:p>
    <w:p>
      <w:pPr>
        <w:spacing w:after="140" w:line="300"/>
      </w:pPr>
      <w:r>
        <w:rPr>
          <w:rFonts w:ascii="Arial" w:cs="Arial" w:eastAsia="Arial" w:hAnsi="Arial"/>
          <w:b/>
          <w:bCs/>
          <w:color w:val="1B3A5C"/>
          <w:sz w:val="22"/>
          <w:szCs w:val="22"/>
        </w:rPr>
        <w:t xml:space="preserve">What to watch: </w:t>
      </w:r>
      <w:r>
        <w:rPr>
          <w:rFonts w:ascii="Arial" w:cs="Arial" w:eastAsia="Arial" w:hAnsi="Arial"/>
          <w:color w:val="333333"/>
          <w:sz w:val="22"/>
          <w:szCs w:val="22"/>
        </w:rPr>
        <w:t xml:space="preserve">If the GW-inferred H₀ converges on ~72–73 (matter sector) rather than ~67 (photon sector), that’s independent confirmation of the sector split from a completely different observable. No analysis needed — just wait for the data and compare.</w:t>
      </w:r>
    </w:p>
    <w:p>
      <w:pPr>
        <w:pStyle w:val="Heading2"/>
        <w:spacing w:before="280" w:after="160"/>
      </w:pPr>
      <w:r>
        <w:rPr>
          <w:rFonts w:ascii="Arial" w:cs="Arial" w:eastAsia="Arial" w:hAnsi="Arial"/>
          <w:b/>
          <w:bCs/>
          <w:color w:val="3A6B8C"/>
          <w:sz w:val="26"/>
          <w:szCs w:val="26"/>
        </w:rPr>
        <w:t xml:space="preserve">4.5 Laboratory Quantum Decoherence</w:t>
      </w:r>
    </w:p>
    <w:p>
      <w:pPr>
        <w:spacing w:after="140" w:line="300"/>
      </w:pPr>
      <w:r>
        <w:rPr>
          <w:rFonts w:ascii="Arial" w:cs="Arial" w:eastAsia="Arial" w:hAnsi="Arial"/>
          <w:b/>
          <w:bCs/>
          <w:color w:val="1B3A5C"/>
          <w:sz w:val="22"/>
          <w:szCs w:val="22"/>
        </w:rPr>
        <w:t xml:space="preserve">The test: </w:t>
      </w:r>
      <w:r>
        <w:rPr>
          <w:rFonts w:ascii="Arial" w:cs="Arial" w:eastAsia="Arial" w:hAnsi="Arial"/>
          <w:color w:val="333333"/>
          <w:sz w:val="22"/>
          <w:szCs w:val="22"/>
        </w:rPr>
        <w:t xml:space="preserve">Laboratory experiments attempting to detect gravitational decoherence (Diósi–Penrose proposals) should measure decoherence rates consistent with IAM’s S_info framework scaled to laboratory masses and temperatures.</w:t>
      </w:r>
    </w:p>
    <w:p>
      <w:pPr>
        <w:spacing w:after="140" w:line="300"/>
      </w:pPr>
      <w:r>
        <w:rPr>
          <w:rFonts w:ascii="Arial" w:cs="Arial" w:eastAsia="Arial" w:hAnsi="Arial"/>
          <w:b/>
          <w:bCs/>
          <w:color w:val="1B3A5C"/>
          <w:sz w:val="22"/>
          <w:szCs w:val="22"/>
        </w:rPr>
        <w:t xml:space="preserve">Why this works: </w:t>
      </w:r>
      <w:r>
        <w:rPr>
          <w:rFonts w:ascii="Arial" w:cs="Arial" w:eastAsia="Arial" w:hAnsi="Arial"/>
          <w:color w:val="333333"/>
          <w:sz w:val="22"/>
          <w:szCs w:val="22"/>
        </w:rPr>
        <w:t xml:space="preserve">IAM’s mechanism is fundamentally about gravitational decoherence producing information with a Landauer cost encoded on horizons. At laboratory scales, the relevant horizon is the local Rindler horizon associated with the gravitational field of the test mass. The same virial partition should govern the rate: half the gravitational self-energy goes into the geometric channel, half into the informational channel.</w:t>
      </w:r>
    </w:p>
    <w:p>
      <w:pPr>
        <w:spacing w:after="140" w:line="300"/>
      </w:pPr>
      <w:r>
        <w:rPr>
          <w:rFonts w:ascii="Arial" w:cs="Arial" w:eastAsia="Arial" w:hAnsi="Arial"/>
          <w:b/>
          <w:bCs/>
          <w:color w:val="1B3A5C"/>
          <w:sz w:val="22"/>
          <w:szCs w:val="22"/>
        </w:rPr>
        <w:t xml:space="preserve">Specific prediction: </w:t>
      </w:r>
      <w:r>
        <w:rPr>
          <w:rFonts w:ascii="Arial" w:cs="Arial" w:eastAsia="Arial" w:hAnsi="Arial"/>
          <w:color w:val="333333"/>
          <w:sz w:val="22"/>
          <w:szCs w:val="22"/>
        </w:rPr>
        <w:t xml:space="preserve">For a mass m with spatial extent Δx, the gravitational self-energy is E_G ~ Gm²/Δx. The Penrose decoherence timescale is τ ~ ħ/E_G. IAM adds the information-theoretic constraint: the decoherence rate must also satisfy the Landauer bound at the local temperature, and the information produced must be encodable on the local horizon area. This provides an additional constraint on τ that Penrose’s model alone does not give.</w:t>
      </w:r>
    </w:p>
    <w:p>
      <w:pPr>
        <w:spacing w:after="140" w:line="300"/>
      </w:pPr>
      <w:r>
        <w:rPr>
          <w:rFonts w:ascii="Arial" w:cs="Arial" w:eastAsia="Arial" w:hAnsi="Arial"/>
          <w:b/>
          <w:bCs/>
          <w:color w:val="1B3A5C"/>
          <w:sz w:val="22"/>
          <w:szCs w:val="22"/>
        </w:rPr>
        <w:t xml:space="preserve">Current experiments: </w:t>
      </w:r>
      <w:r>
        <w:rPr>
          <w:rFonts w:ascii="Arial" w:cs="Arial" w:eastAsia="Arial" w:hAnsi="Arial"/>
          <w:color w:val="333333"/>
          <w:sz w:val="22"/>
          <w:szCs w:val="22"/>
        </w:rPr>
        <w:t xml:space="preserve">MAQRO (proposed space-based), various optomechanical experiments with nanospheres (10⁻¹⁴ to 10⁻¹² kg), the Bouwmeester group’s micro-mirror experiments, and the INFN Gran Sasso proposals.</w:t>
      </w:r>
    </w:p>
    <w:p>
      <w:pPr>
        <w:spacing w:after="160" w:line="300"/>
        <w:ind w:left="360"/>
      </w:pPr>
      <w:r>
        <w:rPr>
          <w:rFonts w:ascii="Arial" w:cs="Arial" w:eastAsia="Arial" w:hAnsi="Arial"/>
          <w:i/>
          <w:iCs/>
          <w:color w:val="555555"/>
          <w:sz w:val="21"/>
          <w:szCs w:val="21"/>
        </w:rPr>
        <w:t xml:space="preserve">This is the hardest test but potentially the most powerful. If the same framework that predicts μ₀ = −0.136 at 10²⁶ meter scales also predicts the correct decoherence rate for a nanogram mass at 10⁻⁶ meter scales, that would span 32 orders of magnitude from a single mechanism.</w:t>
      </w:r>
    </w:p>
    <w:p>
      <w:pPr>
        <w:pStyle w:val="Heading2"/>
        <w:spacing w:before="280" w:after="160"/>
      </w:pPr>
      <w:r>
        <w:rPr>
          <w:rFonts w:ascii="Arial" w:cs="Arial" w:eastAsia="Arial" w:hAnsi="Arial"/>
          <w:b/>
          <w:bCs/>
          <w:color w:val="3A6B8C"/>
          <w:sz w:val="26"/>
          <w:szCs w:val="26"/>
        </w:rPr>
        <w:t xml:space="preserve">4.6 Photon Coherence and Σ = 1</w:t>
      </w:r>
    </w:p>
    <w:p>
      <w:pPr>
        <w:spacing w:after="140" w:line="300"/>
      </w:pPr>
      <w:r>
        <w:rPr>
          <w:rFonts w:ascii="Arial" w:cs="Arial" w:eastAsia="Arial" w:hAnsi="Arial"/>
          <w:b/>
          <w:bCs/>
          <w:color w:val="1B3A5C"/>
          <w:sz w:val="22"/>
          <w:szCs w:val="22"/>
        </w:rPr>
        <w:t xml:space="preserve">The test: </w:t>
      </w:r>
      <w:r>
        <w:rPr>
          <w:rFonts w:ascii="Arial" w:cs="Arial" w:eastAsia="Arial" w:hAnsi="Arial"/>
          <w:color w:val="333333"/>
          <w:sz w:val="22"/>
          <w:szCs w:val="22"/>
        </w:rPr>
        <w:t xml:space="preserve">Quantum optics experiments demonstrating long-range photon coherence, entanglement preservation over large distances, and absence of gravitational decoherence for photons should all be consistent with Σ = 1.</w:t>
      </w:r>
    </w:p>
    <w:p>
      <w:pPr>
        <w:spacing w:after="140" w:line="300"/>
      </w:pPr>
      <w:r>
        <w:rPr>
          <w:rFonts w:ascii="Arial" w:cs="Arial" w:eastAsia="Arial" w:hAnsi="Arial"/>
          <w:b/>
          <w:bCs/>
          <w:color w:val="1B3A5C"/>
          <w:sz w:val="22"/>
          <w:szCs w:val="22"/>
        </w:rPr>
        <w:t xml:space="preserve">Why this works: </w:t>
      </w:r>
      <w:r>
        <w:rPr>
          <w:rFonts w:ascii="Arial" w:cs="Arial" w:eastAsia="Arial" w:hAnsi="Arial"/>
          <w:color w:val="333333"/>
          <w:sz w:val="22"/>
          <w:szCs w:val="22"/>
        </w:rPr>
        <w:t xml:space="preserve">IAM predicts photons propagate on null geodesics (Δτ = 0), experience no proper time, and therefore undergo no gravitational decoherence. Their coherence should be preserved indefinitely regardless of the gravitational environment they traverse. This is already observed — satellite quantum key distribution, long-baseline interferometry, and quantum teleportation experiments all confirm photon coherence over enormous distances.</w:t>
      </w:r>
    </w:p>
    <w:p>
      <w:pPr>
        <w:spacing w:after="140" w:line="300"/>
      </w:pPr>
      <w:r>
        <w:rPr>
          <w:rFonts w:ascii="Arial" w:cs="Arial" w:eastAsia="Arial" w:hAnsi="Arial"/>
          <w:b/>
          <w:bCs/>
          <w:color w:val="1B3A5C"/>
          <w:sz w:val="22"/>
          <w:szCs w:val="22"/>
        </w:rPr>
        <w:t xml:space="preserve">Specific prediction: </w:t>
      </w:r>
      <w:r>
        <w:rPr>
          <w:rFonts w:ascii="Arial" w:cs="Arial" w:eastAsia="Arial" w:hAnsi="Arial"/>
          <w:color w:val="333333"/>
          <w:sz w:val="22"/>
          <w:szCs w:val="22"/>
        </w:rPr>
        <w:t xml:space="preserve">No experiment should ever detect gravitational decoherence of photons. Any proposed “gravitational decoherence of light” experiment should yield null results. Entangled photon pairs separated by any distance should maintain correlations that violate Bell inequalities at the same rate regardless of the gravitational field strength along the path.</w:t>
      </w:r>
    </w:p>
    <w:p>
      <w:pPr>
        <w:spacing w:after="140" w:line="300"/>
      </w:pPr>
      <w:r>
        <w:rPr>
          <w:rFonts w:ascii="Arial" w:cs="Arial" w:eastAsia="Arial" w:hAnsi="Arial"/>
          <w:b/>
          <w:bCs/>
          <w:color w:val="1B3A5C"/>
          <w:sz w:val="22"/>
          <w:szCs w:val="22"/>
        </w:rPr>
        <w:t xml:space="preserve">Existing data: </w:t>
      </w:r>
      <w:r>
        <w:rPr>
          <w:rFonts w:ascii="Arial" w:cs="Arial" w:eastAsia="Arial" w:hAnsi="Arial"/>
          <w:color w:val="333333"/>
          <w:sz w:val="22"/>
          <w:szCs w:val="22"/>
        </w:rPr>
        <w:t xml:space="preserve">Chinese Micius satellite experiments (entanglement over 1,200 km), ground-to-satellite quantum teleportation, fiber-based entanglement distribution experiments.</w:t>
      </w:r>
    </w:p>
    <w:p>
      <w:pPr>
        <w:spacing w:after="160" w:line="300"/>
        <w:ind w:left="360"/>
      </w:pPr>
      <w:r>
        <w:rPr>
          <w:rFonts w:ascii="Arial" w:cs="Arial" w:eastAsia="Arial" w:hAnsi="Arial"/>
          <w:i/>
          <w:iCs/>
          <w:color w:val="555555"/>
          <w:sz w:val="21"/>
          <w:szCs w:val="21"/>
        </w:rPr>
        <w:t xml:space="preserve">This is a “null test” — IAM predicts the absence of an effect. Every quantum optics experiment that preserves photon coherence in gravitational fields is evidence for Σ = 1.</w:t>
      </w:r>
    </w:p>
    <w:p>
      <w:pPr>
        <w:pStyle w:val="Heading2"/>
        <w:spacing w:before="280" w:after="160"/>
      </w:pPr>
      <w:r>
        <w:rPr>
          <w:rFonts w:ascii="Arial" w:cs="Arial" w:eastAsia="Arial" w:hAnsi="Arial"/>
          <w:b/>
          <w:bCs/>
          <w:color w:val="3A6B8C"/>
          <w:sz w:val="26"/>
          <w:szCs w:val="26"/>
        </w:rPr>
        <w:t xml:space="preserve">4.7 N-body Simulation Verification</w:t>
      </w:r>
    </w:p>
    <w:p>
      <w:pPr>
        <w:spacing w:after="140" w:line="300"/>
      </w:pPr>
      <w:r>
        <w:rPr>
          <w:rFonts w:ascii="Arial" w:cs="Arial" w:eastAsia="Arial" w:hAnsi="Arial"/>
          <w:b/>
          <w:bCs/>
          <w:color w:val="1B3A5C"/>
          <w:sz w:val="22"/>
          <w:szCs w:val="22"/>
        </w:rPr>
        <w:t xml:space="preserve">The test: </w:t>
      </w:r>
      <w:r>
        <w:rPr>
          <w:rFonts w:ascii="Arial" w:cs="Arial" w:eastAsia="Arial" w:hAnsi="Arial"/>
          <w:color w:val="333333"/>
          <w:sz w:val="22"/>
          <w:szCs w:val="22"/>
        </w:rPr>
        <w:t xml:space="preserve">The activation function exponent n_eff should be recoverable from published N-body simulation halo merger trees, providing a completely independent check on E(a) = exp(1 − 1/a).</w:t>
      </w:r>
    </w:p>
    <w:p>
      <w:pPr>
        <w:spacing w:after="140" w:line="300"/>
      </w:pPr>
      <w:r>
        <w:rPr>
          <w:rFonts w:ascii="Arial" w:cs="Arial" w:eastAsia="Arial" w:hAnsi="Arial"/>
          <w:b/>
          <w:bCs/>
          <w:color w:val="1B3A5C"/>
          <w:sz w:val="22"/>
          <w:szCs w:val="22"/>
        </w:rPr>
        <w:t xml:space="preserve">What to compute: </w:t>
      </w:r>
      <w:r>
        <w:rPr>
          <w:rFonts w:ascii="Arial" w:cs="Arial" w:eastAsia="Arial" w:hAnsi="Arial"/>
          <w:color w:val="333333"/>
          <w:sz w:val="22"/>
          <w:szCs w:val="22"/>
        </w:rPr>
        <w:t xml:space="preserve">Download Illustris-TNG public halo merger tree catalogs. Compute instantaneous halo collapse rate dN_collapse/da as a function of scale factor. Weight by Gibbons–Hawking encoding efficiency (1/T_H). Integrate cumulatively and fit to exp(α − β/a). The coefficients should land in the n ≈ 3–4 range matching the theory paper’s Table 1.</w:t>
      </w:r>
    </w:p>
    <w:p>
      <w:pPr>
        <w:spacing w:after="160" w:line="300"/>
        <w:ind w:left="360"/>
      </w:pPr>
      <w:r>
        <w:rPr>
          <w:rFonts w:ascii="Arial" w:cs="Arial" w:eastAsia="Arial" w:hAnsi="Arial"/>
          <w:i/>
          <w:iCs/>
          <w:color w:val="555555"/>
          <w:sz w:val="21"/>
          <w:szCs w:val="21"/>
        </w:rPr>
        <w:t xml:space="preserve">Paper 4 in the publication strategy. Laptop-only Python calculation on downloaded catalog data.</w:t>
      </w:r>
    </w:p>
    <w:p>
      <w:pPr>
        <w:pStyle w:val="Heading1"/>
        <w:spacing w:before="360" w:after="200"/>
      </w:pPr>
      <w:r>
        <w:rPr>
          <w:rFonts w:ascii="Arial" w:cs="Arial" w:eastAsia="Arial" w:hAnsi="Arial"/>
          <w:b/>
          <w:bCs/>
          <w:color w:val="1B3A5C"/>
          <w:sz w:val="30"/>
          <w:szCs w:val="30"/>
        </w:rPr>
        <w:t xml:space="preserve">5. The Lesson of Level 2b: Every “Failure” Teaches</w:t>
      </w:r>
    </w:p>
    <w:p>
      <w:pPr>
        <w:spacing w:after="160" w:line="300"/>
        <w:jc w:val="left"/>
      </w:pPr>
      <w:r>
        <w:rPr>
          <w:rFonts w:ascii="Arial" w:cs="Arial" w:eastAsia="Arial" w:hAnsi="Arial"/>
          <w:color w:val="333333"/>
          <w:sz w:val="22"/>
          <w:szCs w:val="22"/>
        </w:rPr>
        <w:t xml:space="preserve">Before running the Level 2b background test, we estimated a 15% failure probability. The test produced H₀ = 61.5 km/s/Mpc — clearly wrong. Initial reaction: the model failed.</w:t>
      </w:r>
    </w:p>
    <w:p>
      <w:pPr>
        <w:spacing w:after="160" w:line="300"/>
        <w:jc w:val="left"/>
      </w:pPr>
      <w:r>
        <w:rPr>
          <w:rFonts w:ascii="Arial" w:cs="Arial" w:eastAsia="Arial" w:hAnsi="Arial"/>
          <w:color w:val="333333"/>
          <w:sz w:val="22"/>
          <w:szCs w:val="22"/>
        </w:rPr>
        <w:t xml:space="preserve">What actually happened: IAM was teaching us that the modification belongs strictly in the perturbation equations, not the background Friedmann equation. The “failure” solidified our understanding that S_info modifies growth of structure (perturbations), not the global expansion history (background). This wasn’t a setback — it was the model correcting our implementation.</w:t>
      </w:r>
    </w:p>
    <w:p>
      <w:pPr>
        <w:spacing w:after="160" w:line="300"/>
        <w:jc w:val="left"/>
      </w:pPr>
      <w:r>
        <w:rPr>
          <w:rFonts w:ascii="Arial" w:cs="Arial" w:eastAsia="Arial" w:hAnsi="Arial"/>
          <w:color w:val="333333"/>
          <w:sz w:val="22"/>
          <w:szCs w:val="22"/>
        </w:rPr>
        <w:t xml:space="preserve">This lesson must be carried forward to every cross-scale test:</w:t>
      </w:r>
    </w:p>
    <w:p>
      <w:pPr>
        <w:spacing w:after="160" w:line="300"/>
      </w:pPr>
      <w:r>
        <w:rPr>
          <w:rFonts w:ascii="Arial" w:cs="Arial" w:eastAsia="Arial" w:hAnsi="Arial"/>
          <w:b/>
          <w:bCs/>
          <w:color w:val="333333"/>
          <w:sz w:val="22"/>
          <w:szCs w:val="22"/>
        </w:rPr>
        <w:t xml:space="preserve">If the cluster lensing–dynamics ratio doesn’t match μ(z): </w:t>
      </w:r>
      <w:r>
        <w:rPr>
          <w:rFonts w:ascii="Arial" w:cs="Arial" w:eastAsia="Arial" w:hAnsi="Arial"/>
          <w:color w:val="333333"/>
          <w:sz w:val="22"/>
          <w:szCs w:val="22"/>
        </w:rPr>
        <w:t xml:space="preserve">It may mean the perturbation-level μ applies differently at cluster scales than cosmic scales. Investigate whether local versus global horizon effects change the mapping.</w:t>
      </w:r>
    </w:p>
    <w:p>
      <w:pPr>
        <w:spacing w:after="160" w:line="300"/>
      </w:pPr>
      <w:r>
        <w:rPr>
          <w:rFonts w:ascii="Arial" w:cs="Arial" w:eastAsia="Arial" w:hAnsi="Arial"/>
          <w:b/>
          <w:bCs/>
          <w:color w:val="333333"/>
          <w:sz w:val="22"/>
          <w:szCs w:val="22"/>
        </w:rPr>
        <w:t xml:space="preserve">If the M–σ normalization is off: </w:t>
      </w:r>
      <w:r>
        <w:rPr>
          <w:rFonts w:ascii="Arial" w:cs="Arial" w:eastAsia="Arial" w:hAnsi="Arial"/>
          <w:color w:val="333333"/>
          <w:sz w:val="22"/>
          <w:szCs w:val="22"/>
        </w:rPr>
        <w:t xml:space="preserve">The virial partition may have different sub-components (f_coll × η) at galactic scales than cosmological scales. The framework survives; the numbers refine.</w:t>
      </w:r>
    </w:p>
    <w:p>
      <w:pPr>
        <w:spacing w:after="160" w:line="300"/>
      </w:pPr>
      <w:r>
        <w:rPr>
          <w:rFonts w:ascii="Arial" w:cs="Arial" w:eastAsia="Arial" w:hAnsi="Arial"/>
          <w:b/>
          <w:bCs/>
          <w:color w:val="333333"/>
          <w:sz w:val="22"/>
          <w:szCs w:val="22"/>
        </w:rPr>
        <w:t xml:space="preserve">If laboratory decoherence rates don’t match: </w:t>
      </w:r>
      <w:r>
        <w:rPr>
          <w:rFonts w:ascii="Arial" w:cs="Arial" w:eastAsia="Arial" w:hAnsi="Arial"/>
          <w:color w:val="333333"/>
          <w:sz w:val="22"/>
          <w:szCs w:val="22"/>
        </w:rPr>
        <w:t xml:space="preserve">The local Rindler horizon may not encode information the same way as the cosmic horizon. This would constrain the applicability of the holographic encoding mechanism.</w:t>
      </w:r>
    </w:p>
    <w:p>
      <w:pPr>
        <w:spacing w:after="160" w:line="300"/>
      </w:pPr>
      <w:r>
        <w:rPr>
          <w:rFonts w:ascii="Arial" w:cs="Arial" w:eastAsia="Arial" w:hAnsi="Arial"/>
          <w:b/>
          <w:bCs/>
          <w:color w:val="333333"/>
          <w:sz w:val="22"/>
          <w:szCs w:val="22"/>
        </w:rPr>
        <w:t xml:space="preserve">If gravitational wave H₀ lands at 67 instead of 73: </w:t>
      </w:r>
      <w:r>
        <w:rPr>
          <w:rFonts w:ascii="Arial" w:cs="Arial" w:eastAsia="Arial" w:hAnsi="Arial"/>
          <w:color w:val="333333"/>
          <w:sz w:val="22"/>
          <w:szCs w:val="22"/>
        </w:rPr>
        <w:t xml:space="preserve">The sector split may not apply to gravitational wave propagation — GWs are tensor perturbations, not scalar. This would refine the dual-sector mechanism.</w:t>
      </w:r>
    </w:p>
    <w:p>
      <w:pPr>
        <w:spacing w:after="160" w:line="300"/>
      </w:pPr>
      <w:r>
        <w:rPr>
          <w:rFonts w:ascii="Arial" w:cs="Arial" w:eastAsia="Arial" w:hAnsi="Arial"/>
          <w:b/>
          <w:bCs/>
          <w:color w:val="1B3A5C"/>
          <w:sz w:val="22"/>
          <w:szCs w:val="22"/>
        </w:rPr>
        <w:t xml:space="preserve">The principle: </w:t>
      </w:r>
      <w:r>
        <w:rPr>
          <w:rFonts w:ascii="Arial" w:cs="Arial" w:eastAsia="Arial" w:hAnsi="Arial"/>
          <w:color w:val="333333"/>
          <w:sz w:val="22"/>
          <w:szCs w:val="22"/>
        </w:rPr>
        <w:t xml:space="preserve">No single number kills the pattern. But the absence of ANY sector split — if matter and photons behave identically at every scale — would be a fundamental challenge to the framework.</w:t>
      </w:r>
    </w:p>
    <w:p>
      <w:pPr>
        <w:pStyle w:val="Heading1"/>
        <w:spacing w:before="360" w:after="200"/>
      </w:pPr>
      <w:r>
        <w:rPr>
          <w:rFonts w:ascii="Arial" w:cs="Arial" w:eastAsia="Arial" w:hAnsi="Arial"/>
          <w:b/>
          <w:bCs/>
          <w:color w:val="1B3A5C"/>
          <w:sz w:val="30"/>
          <w:szCs w:val="30"/>
        </w:rPr>
        <w:t xml:space="preserve">6. Euclid Scenario Planning</w:t>
      </w:r>
    </w:p>
    <w:p>
      <w:pPr>
        <w:spacing w:after="160" w:line="300"/>
        <w:jc w:val="left"/>
      </w:pPr>
      <w:r>
        <w:rPr>
          <w:rFonts w:ascii="Arial" w:cs="Arial" w:eastAsia="Arial" w:hAnsi="Arial"/>
          <w:color w:val="333333"/>
          <w:sz w:val="22"/>
          <w:szCs w:val="22"/>
        </w:rPr>
        <w:t xml:space="preserve">Euclid’s projected sensitivity is σ(μ₀) ≈ 0.04. IAM predicts μ₀ = −0.136. Here is the gameplan for every outcome:</w:t>
      </w:r>
    </w:p>
    <w:p>
      <w:pPr>
        <w:spacing w:before="200" w:after="120"/>
      </w:pPr>
      <w:r>
        <w:rPr>
          <w:rFonts w:ascii="Arial" w:cs="Arial" w:eastAsia="Arial" w:hAnsi="Arial"/>
          <w:b/>
          <w:bCs/>
          <w:color w:val="3A6B8C"/>
          <w:sz w:val="23"/>
          <w:szCs w:val="23"/>
        </w:rPr>
        <w:t xml:space="preserve">Scenario A: μ₀ within 1σ of −0.136</w:t>
      </w:r>
    </w:p>
    <w:p>
      <w:pPr>
        <w:spacing w:after="160" w:line="300"/>
        <w:jc w:val="left"/>
      </w:pPr>
      <w:r>
        <w:rPr>
          <w:rFonts w:ascii="Arial" w:cs="Arial" w:eastAsia="Arial" w:hAnsi="Arial"/>
          <w:color w:val="333333"/>
          <w:sz w:val="22"/>
          <w:szCs w:val="22"/>
        </w:rPr>
        <w:t xml:space="preserve">Immediate action: examine tomographic z-bins for shape consistency with E(a). Check Σ = 1 independently. The amplitude being right doesn’t guarantee the redshift dependence is right. If the shape is wrong, the virial coupling is correct but the activation function needs refinement.</w:t>
      </w:r>
    </w:p>
    <w:p>
      <w:pPr>
        <w:spacing w:before="200" w:after="120"/>
      </w:pPr>
      <w:r>
        <w:rPr>
          <w:rFonts w:ascii="Arial" w:cs="Arial" w:eastAsia="Arial" w:hAnsi="Arial"/>
          <w:b/>
          <w:bCs/>
          <w:color w:val="3A6B8C"/>
          <w:sz w:val="23"/>
          <w:szCs w:val="23"/>
        </w:rPr>
        <w:t xml:space="preserve">Scenario B: μ₀ off by 1–2σ in either direction</w:t>
      </w:r>
    </w:p>
    <w:p>
      <w:pPr>
        <w:spacing w:after="160" w:line="300"/>
        <w:jc w:val="left"/>
      </w:pPr>
      <w:r>
        <w:rPr>
          <w:rFonts w:ascii="Arial" w:cs="Arial" w:eastAsia="Arial" w:hAnsi="Arial"/>
          <w:color w:val="333333"/>
          <w:sz w:val="22"/>
          <w:szCs w:val="22"/>
        </w:rPr>
        <w:t xml:space="preserve">Most likely outcome. Recalculate β_m = Ω_m/2 using Euclid’s own Ω_m. If the ratio β_m/Ω_m stays near 1/2 with updated inputs, IAM is confirmed. The relationship matters more than the raw number.</w:t>
      </w:r>
    </w:p>
    <w:p>
      <w:pPr>
        <w:spacing w:before="200" w:after="120"/>
      </w:pPr>
      <w:r>
        <w:rPr>
          <w:rFonts w:ascii="Arial" w:cs="Arial" w:eastAsia="Arial" w:hAnsi="Arial"/>
          <w:b/>
          <w:bCs/>
          <w:color w:val="3A6B8C"/>
          <w:sz w:val="23"/>
          <w:szCs w:val="23"/>
        </w:rPr>
        <w:t xml:space="preserve">Scenario C: μ₀ off by 3σ negative (stronger suppression)</w:t>
      </w:r>
    </w:p>
    <w:p>
      <w:pPr>
        <w:spacing w:after="160" w:line="300"/>
        <w:jc w:val="left"/>
      </w:pPr>
      <w:r>
        <w:rPr>
          <w:rFonts w:ascii="Arial" w:cs="Arial" w:eastAsia="Arial" w:hAnsi="Arial"/>
          <w:color w:val="333333"/>
          <w:sz w:val="22"/>
          <w:szCs w:val="22"/>
        </w:rPr>
        <w:t xml:space="preserve">More growth suppression than predicted. The virial efficiency η may be higher than 0.81 — more gravitational energy goes into decoherence than the simple virial estimate. Revisit f_coll × η with Euclid’s own halo mass function measurements.</w:t>
      </w:r>
    </w:p>
    <w:p>
      <w:pPr>
        <w:spacing w:before="200" w:after="120"/>
      </w:pPr>
      <w:r>
        <w:rPr>
          <w:rFonts w:ascii="Arial" w:cs="Arial" w:eastAsia="Arial" w:hAnsi="Arial"/>
          <w:b/>
          <w:bCs/>
          <w:color w:val="3A6B8C"/>
          <w:sz w:val="23"/>
          <w:szCs w:val="23"/>
        </w:rPr>
        <w:t xml:space="preserve">Scenario D: μ₀ off by 3σ positive (weaker suppression, near zero)</w:t>
      </w:r>
    </w:p>
    <w:p>
      <w:pPr>
        <w:spacing w:after="160" w:line="300"/>
        <w:jc w:val="left"/>
      </w:pPr>
      <w:r>
        <w:rPr>
          <w:rFonts w:ascii="Arial" w:cs="Arial" w:eastAsia="Arial" w:hAnsi="Arial"/>
          <w:color w:val="333333"/>
          <w:sz w:val="22"/>
          <w:szCs w:val="22"/>
        </w:rPr>
        <w:t xml:space="preserve">Harder case. Either β_m/Ω_m ≠ 1/2 (virial derivation needs rethinking) or E(a) activates later than predicted. Check redshift dependence: if suppression is weak at z = 0 but follows E(a) shape at higher z, the coupling needs recalibration, not the mechanism.</w:t>
      </w:r>
    </w:p>
    <w:p>
      <w:pPr>
        <w:spacing w:before="200" w:after="120"/>
      </w:pPr>
      <w:r>
        <w:rPr>
          <w:rFonts w:ascii="Arial" w:cs="Arial" w:eastAsia="Arial" w:hAnsi="Arial"/>
          <w:b/>
          <w:bCs/>
          <w:color w:val="3A6B8C"/>
          <w:sz w:val="23"/>
          <w:szCs w:val="23"/>
        </w:rPr>
        <w:t xml:space="preserve">Scenario E: μ₀ consistent with zero</w:t>
      </w:r>
    </w:p>
    <w:p>
      <w:pPr>
        <w:spacing w:after="160" w:line="300"/>
        <w:jc w:val="left"/>
      </w:pPr>
      <w:r>
        <w:rPr>
          <w:rFonts w:ascii="Arial" w:cs="Arial" w:eastAsia="Arial" w:hAnsi="Arial"/>
          <w:color w:val="333333"/>
          <w:sz w:val="22"/>
          <w:szCs w:val="22"/>
        </w:rPr>
        <w:t xml:space="preserve">Serious challenge. Check whether S₈ tension also disappears with Euclid data. If S₈ tension persists while μ₀ = 0, growth suppression is real but the mechanism isn’t the μ–Σ channel. If S₈ tension disappears, ΛCDM may have been correct and current tensions were systematics.</w:t>
      </w:r>
    </w:p>
    <w:p>
      <w:pPr>
        <w:spacing w:after="160" w:line="300"/>
      </w:pPr>
      <w:r>
        <w:rPr>
          <w:rFonts w:ascii="Arial" w:cs="Arial" w:eastAsia="Arial" w:hAnsi="Arial"/>
          <w:b/>
          <w:bCs/>
          <w:color w:val="1B3A5C"/>
          <w:sz w:val="22"/>
          <w:szCs w:val="22"/>
        </w:rPr>
        <w:t xml:space="preserve">The framework-level question for all scenarios: </w:t>
      </w:r>
      <w:r>
        <w:rPr>
          <w:rFonts w:ascii="Arial" w:cs="Arial" w:eastAsia="Arial" w:hAnsi="Arial"/>
          <w:color w:val="333333"/>
          <w:sz w:val="22"/>
          <w:szCs w:val="22"/>
        </w:rPr>
        <w:t xml:space="preserve">Does the sector split exist? If μ ≠ 1 while Σ = 1, the mechanism survives regardless of amplitude. If μ = Σ = 1, the dual-sector hypothesis is falsified. If μ ≠ Σ ≠ 1, something else is happening that IAM doesn’t predict.</w:t>
      </w:r>
    </w:p>
    <w:p>
      <w:pPr>
        <w:pStyle w:val="Heading1"/>
        <w:spacing w:before="360" w:after="200"/>
      </w:pPr>
      <w:r>
        <w:rPr>
          <w:rFonts w:ascii="Arial" w:cs="Arial" w:eastAsia="Arial" w:hAnsi="Arial"/>
          <w:b/>
          <w:bCs/>
          <w:color w:val="1B3A5C"/>
          <w:sz w:val="30"/>
          <w:szCs w:val="30"/>
        </w:rPr>
        <w:t xml:space="preserve">7. Implementation Timeline</w:t>
      </w:r>
    </w:p>
    <w:p>
      <w:pPr>
        <w:spacing w:after="160" w:line="300"/>
        <w:jc w:val="left"/>
      </w:pPr>
      <w:r>
        <w:rPr>
          <w:rFonts w:ascii="Arial" w:cs="Arial" w:eastAsia="Arial" w:hAnsi="Arial"/>
          <w:color w:val="333333"/>
          <w:sz w:val="22"/>
          <w:szCs w:val="22"/>
        </w:rPr>
        <w:t xml:space="preserve">Priority ordering based on: (a) uses existing data, (b) requires no new hardware, (c) tests the virial partition at a new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c>
          <w:tcPr>
            <w:tcW w:type="dxa" w:w="1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w:t>
            </w:r>
          </w:p>
        </w:tc>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w:t>
            </w:r>
          </w:p>
        </w:tc>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W w:type="dxa" w:w="31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If Result Differs</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1B3A5C"/>
                <w:sz w:val="20"/>
                <w:szCs w:val="20"/>
              </w:rPr>
              <w:t xml:space="preserve">Now</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Cluster M_dyn/M_lens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Ratio tracks μ(z) across cluster sample</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Local vs global horizon effects differ; refine perturbation mapping at cluster scales</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1B3A5C"/>
                <w:sz w:val="20"/>
                <w:szCs w:val="20"/>
              </w:rPr>
              <w:t xml:space="preserve">Now</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M–σ derivation</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M_BH ∝ σ⁴ from info budget, correct normalization</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Virial sub-components (f_coll, η) differ at galactic scale; partition framework survives, numbers update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1B3A5C"/>
                <w:sz w:val="20"/>
                <w:szCs w:val="20"/>
              </w:rPr>
              <w:t xml:space="preserve">Now</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Two-horizon crossover</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z_cross matches E(a) activation epoch</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BH encoding surfaces contribute differently than assumed; revise Paper 5 model</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1B3A5C"/>
                <w:sz w:val="20"/>
                <w:szCs w:val="20"/>
              </w:rPr>
              <w:t xml:space="preserve">Now</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Photon coherence null test</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No gravitational decoherence of photons ever detected</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Catastrophic for IAM; Σ = 1 is foundational</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1B3A5C"/>
                <w:sz w:val="20"/>
                <w:szCs w:val="20"/>
              </w:rPr>
              <w:t xml:space="preserve">Now</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N-body E(a) verification</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n_eff ≈ 3–4, β ≈ 1.0 from simulation data</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Activation function shape needs revision; mechanism survives, functional form updates</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1B3A5C"/>
                <w:sz w:val="20"/>
                <w:szCs w:val="20"/>
              </w:rPr>
              <w:t xml:space="preserve">2025–27</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GW standard sirens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H₀ converges on ~72–73 km/s/Mpc</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Sector split may not apply to tensor perturbations; refine dual-sector scope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1B3A5C"/>
                <w:sz w:val="20"/>
                <w:szCs w:val="20"/>
              </w:rPr>
              <w:t xml:space="preserve">2026–27</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Euclid μ₀, Σ₀</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μ₀ = −0.136 ± 0.04, Σ = 1</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See Section 6 scenario planning; response depends on which direction and magnitude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1B3A5C"/>
                <w:sz w:val="20"/>
                <w:szCs w:val="20"/>
              </w:rPr>
              <w:t xml:space="preserve">2026+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DESI Year 5 fσ₈</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Consistent with 1.36% growth suppression</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If inconsistent with Euclid, systematic issue in one dataset; if both disagree with IAM, virial coupling needs revision</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bCs/>
                <w:i w:val="false"/>
                <w:iCs w:val="false"/>
                <w:color w:val="1B3A5C"/>
                <w:sz w:val="20"/>
                <w:szCs w:val="20"/>
              </w:rPr>
              <w:t xml:space="preserve">2027+</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Lab decoherence</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Rates consistent with S_info at lab scales</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9"/>
                <w:szCs w:val="19"/>
              </w:rPr>
              <w:t xml:space="preserve">Holographic encoding may not apply at local Rindler horizons; constrain mechanism’s scale range</w:t>
            </w:r>
          </w:p>
        </w:tc>
      </w:tr>
    </w:tbl>
    <w:p>
      <w:pPr>
        <w:spacing w:after="120"/>
      </w:pPr>
    </w:p>
    <w:p>
      <w:pPr>
        <w:pStyle w:val="Heading1"/>
        <w:spacing w:before="360" w:after="200"/>
      </w:pPr>
      <w:r>
        <w:rPr>
          <w:rFonts w:ascii="Arial" w:cs="Arial" w:eastAsia="Arial" w:hAnsi="Arial"/>
          <w:b/>
          <w:bCs/>
          <w:color w:val="1B3A5C"/>
          <w:sz w:val="30"/>
          <w:szCs w:val="30"/>
        </w:rPr>
        <w:t xml:space="preserve">8. The Outsider Advantage</w:t>
      </w:r>
    </w:p>
    <w:p>
      <w:pPr>
        <w:spacing w:after="160" w:line="300"/>
        <w:jc w:val="left"/>
      </w:pPr>
      <w:r>
        <w:rPr>
          <w:rFonts w:ascii="Arial" w:cs="Arial" w:eastAsia="Arial" w:hAnsi="Arial"/>
          <w:color w:val="333333"/>
          <w:sz w:val="22"/>
          <w:szCs w:val="22"/>
        </w:rPr>
        <w:t xml:space="preserve">An institutional physicist would typically validate a model at one scale and wait for peer review before extending to others. The cross-scale validation approach here is deliberately different.</w:t>
      </w:r>
    </w:p>
    <w:p>
      <w:pPr>
        <w:spacing w:after="160" w:line="300"/>
        <w:jc w:val="left"/>
      </w:pPr>
      <w:r>
        <w:rPr>
          <w:rFonts w:ascii="Arial" w:cs="Arial" w:eastAsia="Arial" w:hAnsi="Arial"/>
          <w:color w:val="333333"/>
          <w:sz w:val="22"/>
          <w:szCs w:val="22"/>
        </w:rPr>
        <w:t xml:space="preserve">Standard approach: Predict μ₀ = −0.136. Wait for Euclid. Publish if confirmed. This puts all eggs in one basket and gives skeptics a single target.</w:t>
      </w:r>
    </w:p>
    <w:p>
      <w:pPr>
        <w:spacing w:after="160" w:line="300"/>
      </w:pPr>
      <w:r>
        <w:rPr>
          <w:rFonts w:ascii="Arial" w:cs="Arial" w:eastAsia="Arial" w:hAnsi="Arial"/>
          <w:b/>
          <w:bCs/>
          <w:color w:val="333333"/>
          <w:sz w:val="22"/>
          <w:szCs w:val="22"/>
        </w:rPr>
        <w:t xml:space="preserve">IAM approach: </w:t>
      </w:r>
      <w:r>
        <w:rPr>
          <w:rFonts w:ascii="Arial" w:cs="Arial" w:eastAsia="Arial" w:hAnsi="Arial"/>
          <w:color w:val="333333"/>
          <w:sz w:val="22"/>
          <w:szCs w:val="22"/>
        </w:rPr>
        <w:t xml:space="preserve">Test the virial partition at every accessible scale simultaneously. If it holds across galaxy clusters, black holes, the M–σ relation, photon coherence, N-body simulations, AND cosmological surveys, no single measurement can dismiss the pattern. The statistical probability of the same framework accidentally working across 12 independent tests spanning 20+ orders of magnitude is negligible.</w:t>
      </w:r>
    </w:p>
    <w:p>
      <w:pPr>
        <w:spacing w:after="160" w:line="300"/>
        <w:jc w:val="left"/>
      </w:pPr>
      <w:r>
        <w:rPr>
          <w:rFonts w:ascii="Arial" w:cs="Arial" w:eastAsia="Arial" w:hAnsi="Arial"/>
          <w:color w:val="333333"/>
          <w:sz w:val="22"/>
          <w:szCs w:val="22"/>
        </w:rPr>
        <w:t xml:space="preserve">This is not overreach — it is the natural consequence of a framework built on scale-invariant principles (thermodynamics, virial theorem, holographic principle, Landauer’s bound). If these principles are correct, the predictions follow at every scale where gravity produces decoherence. Testing them everywhere is not ambition; it is due diligence.</w:t>
      </w:r>
    </w:p>
    <w:p>
      <w:pPr>
        <w:spacing w:after="160" w:line="300"/>
      </w:pPr>
      <w:r>
        <w:rPr>
          <w:rFonts w:ascii="Arial" w:cs="Arial" w:eastAsia="Arial" w:hAnsi="Arial"/>
          <w:b/>
          <w:bCs/>
          <w:color w:val="1B3A5C"/>
          <w:sz w:val="22"/>
          <w:szCs w:val="22"/>
        </w:rPr>
        <w:t xml:space="preserve">The presentation strategy matters. </w:t>
      </w:r>
      <w:r>
        <w:rPr>
          <w:rFonts w:ascii="Arial" w:cs="Arial" w:eastAsia="Arial" w:hAnsi="Arial"/>
          <w:color w:val="333333"/>
          <w:sz w:val="22"/>
          <w:szCs w:val="22"/>
        </w:rPr>
        <w:t xml:space="preserve">We are confident about the pattern, not the perfection of any single number. Every prediction comes with: (a) the specific number, (b) the derivation chain, (c) what it means if the number is off, and (d) what would actually falsify the framework versus what would merely refine it. This is how outsider work earns credibility — by being more rigorous, more transparent, and more honest about uncertainties than institutional work typically requires.</w:t>
      </w:r>
    </w:p>
    <w:p>
      <w:pPr>
        <w:pStyle w:val="Heading1"/>
        <w:spacing w:before="360" w:after="200"/>
      </w:pPr>
      <w:r>
        <w:rPr>
          <w:rFonts w:ascii="Arial" w:cs="Arial" w:eastAsia="Arial" w:hAnsi="Arial"/>
          <w:b/>
          <w:bCs/>
          <w:color w:val="1B3A5C"/>
          <w:sz w:val="30"/>
          <w:szCs w:val="30"/>
        </w:rPr>
        <w:t xml:space="preserve">9. What the Data Already Tells Us</w:t>
      </w:r>
    </w:p>
    <w:p>
      <w:pPr>
        <w:spacing w:after="160" w:line="300"/>
        <w:jc w:val="left"/>
      </w:pPr>
      <w:r>
        <w:rPr>
          <w:rFonts w:ascii="Arial" w:cs="Arial" w:eastAsia="Arial" w:hAnsi="Arial"/>
          <w:color w:val="333333"/>
          <w:sz w:val="22"/>
          <w:szCs w:val="22"/>
        </w:rPr>
        <w:t xml:space="preserve">Before running a single new calculation, existing published results already provide circumstantial evidence for the virial partition across scales:</w:t>
      </w:r>
    </w:p>
    <w:p>
      <w:pPr>
        <w:spacing w:after="160" w:line="300"/>
      </w:pPr>
      <w:r>
        <w:rPr>
          <w:rFonts w:ascii="Arial" w:cs="Arial" w:eastAsia="Arial" w:hAnsi="Arial"/>
          <w:b/>
          <w:bCs/>
          <w:color w:val="333333"/>
          <w:sz w:val="22"/>
          <w:szCs w:val="22"/>
        </w:rPr>
        <w:t xml:space="preserve">The S₈ tension exists </w:t>
      </w:r>
      <w:r>
        <w:rPr>
          <w:rFonts w:ascii="Arial" w:cs="Arial" w:eastAsia="Arial" w:hAnsi="Arial"/>
          <w:color w:val="333333"/>
          <w:sz w:val="22"/>
          <w:szCs w:val="22"/>
        </w:rPr>
        <w:t xml:space="preserve">(σ₈ from weak lensing surveys is 2–3σ below Planck’s CMB prediction). IAM predicts exactly this: σ₈ = 0.800 versus Planck’s 0.811. The tension is the signal.</w:t>
      </w:r>
    </w:p>
    <w:p>
      <w:pPr>
        <w:spacing w:after="160" w:line="300"/>
      </w:pPr>
      <w:r>
        <w:rPr>
          <w:rFonts w:ascii="Arial" w:cs="Arial" w:eastAsia="Arial" w:hAnsi="Arial"/>
          <w:b/>
          <w:bCs/>
          <w:color w:val="333333"/>
          <w:sz w:val="22"/>
          <w:szCs w:val="22"/>
        </w:rPr>
        <w:t xml:space="preserve">The Hubble tension exists </w:t>
      </w:r>
      <w:r>
        <w:rPr>
          <w:rFonts w:ascii="Arial" w:cs="Arial" w:eastAsia="Arial" w:hAnsi="Arial"/>
          <w:color w:val="333333"/>
          <w:sz w:val="22"/>
          <w:szCs w:val="22"/>
        </w:rPr>
        <w:t xml:space="preserve">(5σ+ discrepancy between CMB and distance ladder H₀). IAM predicts exactly this: two sectors measuring different effective expansion rates.</w:t>
      </w:r>
    </w:p>
    <w:p>
      <w:pPr>
        <w:spacing w:after="160" w:line="300"/>
      </w:pPr>
      <w:r>
        <w:rPr>
          <w:rFonts w:ascii="Arial" w:cs="Arial" w:eastAsia="Arial" w:hAnsi="Arial"/>
          <w:b/>
          <w:bCs/>
          <w:color w:val="333333"/>
          <w:sz w:val="22"/>
          <w:szCs w:val="22"/>
        </w:rPr>
        <w:t xml:space="preserve">The cluster lensing–dynamics discrepancy exists </w:t>
      </w:r>
      <w:r>
        <w:rPr>
          <w:rFonts w:ascii="Arial" w:cs="Arial" w:eastAsia="Arial" w:hAnsi="Arial"/>
          <w:color w:val="333333"/>
          <w:sz w:val="22"/>
          <w:szCs w:val="22"/>
        </w:rPr>
        <w:t xml:space="preserve">(dynamical masses systematically lower than lensing masses). Published and attributed to systematics. IAM says it’s the μ &lt; 1 sector split.</w:t>
      </w:r>
    </w:p>
    <w:p>
      <w:pPr>
        <w:spacing w:after="160" w:line="300"/>
      </w:pPr>
      <w:r>
        <w:rPr>
          <w:rFonts w:ascii="Arial" w:cs="Arial" w:eastAsia="Arial" w:hAnsi="Arial"/>
          <w:b/>
          <w:bCs/>
          <w:color w:val="333333"/>
          <w:sz w:val="22"/>
          <w:szCs w:val="22"/>
        </w:rPr>
        <w:t xml:space="preserve">The M–σ relation exists </w:t>
      </w:r>
      <w:r>
        <w:rPr>
          <w:rFonts w:ascii="Arial" w:cs="Arial" w:eastAsia="Arial" w:hAnsi="Arial"/>
          <w:color w:val="333333"/>
          <w:sz w:val="22"/>
          <w:szCs w:val="22"/>
        </w:rPr>
        <w:t xml:space="preserve">with no first-principles derivation. IAM offers one: the information budget governed by the virial partition.</w:t>
      </w:r>
    </w:p>
    <w:p>
      <w:pPr>
        <w:spacing w:after="160" w:line="300"/>
      </w:pPr>
      <w:r>
        <w:rPr>
          <w:rFonts w:ascii="Arial" w:cs="Arial" w:eastAsia="Arial" w:hAnsi="Arial"/>
          <w:b/>
          <w:bCs/>
          <w:color w:val="333333"/>
          <w:sz w:val="22"/>
          <w:szCs w:val="22"/>
        </w:rPr>
        <w:t xml:space="preserve">Photon coherence is preserved over cosmic distances </w:t>
      </w:r>
      <w:r>
        <w:rPr>
          <w:rFonts w:ascii="Arial" w:cs="Arial" w:eastAsia="Arial" w:hAnsi="Arial"/>
          <w:color w:val="333333"/>
          <w:sz w:val="22"/>
          <w:szCs w:val="22"/>
        </w:rPr>
        <w:t xml:space="preserve">(satellite quantum key distribution, long-baseline interferometry). IAM predicts exactly this: Σ = 1, no gravitational decoherence on null geodesics.</w:t>
      </w:r>
    </w:p>
    <w:p>
      <w:pPr>
        <w:spacing w:after="160" w:line="300"/>
        <w:jc w:val="left"/>
      </w:pPr>
      <w:r>
        <w:rPr>
          <w:rFonts w:ascii="Arial" w:cs="Arial" w:eastAsia="Arial" w:hAnsi="Arial"/>
          <w:color w:val="333333"/>
          <w:sz w:val="22"/>
          <w:szCs w:val="22"/>
        </w:rPr>
        <w:t xml:space="preserve">None of these individually prove IAM. But the fact that a single framework with zero free parameters is consistent with all of them simultaneously — and that the framework makes specific, falsifiable predictions for each — is the pattern that demands systematic testing.</w:t>
      </w:r>
    </w:p>
    <w:p>
      <w:pPr>
        <w:pStyle w:val="Heading1"/>
        <w:spacing w:before="360" w:after="200"/>
      </w:pPr>
      <w:r>
        <w:rPr>
          <w:rFonts w:ascii="Arial" w:cs="Arial" w:eastAsia="Arial" w:hAnsi="Arial"/>
          <w:b/>
          <w:bCs/>
          <w:color w:val="1B3A5C"/>
          <w:sz w:val="30"/>
          <w:szCs w:val="30"/>
        </w:rPr>
        <w:t xml:space="preserve">10. Setting the Gold Standard</w:t>
      </w:r>
    </w:p>
    <w:p>
      <w:pPr>
        <w:spacing w:after="160" w:line="300"/>
        <w:jc w:val="left"/>
      </w:pPr>
      <w:r>
        <w:rPr>
          <w:rFonts w:ascii="Arial" w:cs="Arial" w:eastAsia="Arial" w:hAnsi="Arial"/>
          <w:color w:val="333333"/>
          <w:sz w:val="22"/>
          <w:szCs w:val="22"/>
        </w:rPr>
        <w:t xml:space="preserve">This roadmap establishes the validation protocol for IAM’s virial partition across all accessible scales. The standard is:</w:t>
      </w:r>
    </w:p>
    <w:p>
      <w:pPr>
        <w:pStyle w:val="ListParagraph"/>
        <w:numPr>
          <w:ilvl w:val="0"/>
          <w:numId w:val="2"/>
        </w:numPr>
        <w:spacing w:after="120" w:line="300"/>
      </w:pPr>
      <w:r>
        <w:rPr>
          <w:rFonts w:ascii="Arial" w:cs="Arial" w:eastAsia="Arial" w:hAnsi="Arial"/>
          <w:color w:val="333333"/>
          <w:sz w:val="22"/>
          <w:szCs w:val="22"/>
        </w:rPr>
        <w:t xml:space="preserve">Every prediction states the specific number, the derivation chain, and the falsification criteria.</w:t>
      </w:r>
    </w:p>
    <w:p>
      <w:pPr>
        <w:pStyle w:val="ListParagraph"/>
        <w:numPr>
          <w:ilvl w:val="0"/>
          <w:numId w:val="2"/>
        </w:numPr>
        <w:spacing w:after="120" w:line="300"/>
      </w:pPr>
      <w:r>
        <w:rPr>
          <w:rFonts w:ascii="Arial" w:cs="Arial" w:eastAsia="Arial" w:hAnsi="Arial"/>
          <w:color w:val="333333"/>
          <w:sz w:val="22"/>
          <w:szCs w:val="22"/>
        </w:rPr>
        <w:t xml:space="preserve">Every test uses publicly available data and reproducible calculations.</w:t>
      </w:r>
    </w:p>
    <w:p>
      <w:pPr>
        <w:pStyle w:val="ListParagraph"/>
        <w:numPr>
          <w:ilvl w:val="0"/>
          <w:numId w:val="2"/>
        </w:numPr>
        <w:spacing w:after="120" w:line="300"/>
      </w:pPr>
      <w:r>
        <w:rPr>
          <w:rFonts w:ascii="Arial" w:cs="Arial" w:eastAsia="Arial" w:hAnsi="Arial"/>
          <w:color w:val="333333"/>
          <w:sz w:val="22"/>
          <w:szCs w:val="22"/>
        </w:rPr>
        <w:t xml:space="preserve">Every result is interpreted honestly: what confirms, what refines, and what would falsify.</w:t>
      </w:r>
    </w:p>
    <w:p>
      <w:pPr>
        <w:pStyle w:val="ListParagraph"/>
        <w:numPr>
          <w:ilvl w:val="0"/>
          <w:numId w:val="2"/>
        </w:numPr>
        <w:spacing w:after="120" w:line="300"/>
      </w:pPr>
      <w:r>
        <w:rPr>
          <w:rFonts w:ascii="Arial" w:cs="Arial" w:eastAsia="Arial" w:hAnsi="Arial"/>
          <w:color w:val="333333"/>
          <w:sz w:val="22"/>
          <w:szCs w:val="22"/>
        </w:rPr>
        <w:t xml:space="preserve">No single number is treated as sacred. The pattern across scales is the prediction.</w:t>
      </w:r>
    </w:p>
    <w:p>
      <w:pPr>
        <w:pStyle w:val="ListParagraph"/>
        <w:numPr>
          <w:ilvl w:val="0"/>
          <w:numId w:val="2"/>
        </w:numPr>
        <w:spacing w:after="120" w:line="300"/>
      </w:pPr>
      <w:r>
        <w:rPr>
          <w:rFonts w:ascii="Arial" w:cs="Arial" w:eastAsia="Arial" w:hAnsi="Arial"/>
          <w:color w:val="333333"/>
          <w:sz w:val="22"/>
          <w:szCs w:val="22"/>
        </w:rPr>
        <w:t xml:space="preserve">All code, data sources, and analysis scripts are publicly archived with DOIs.</w:t>
      </w:r>
    </w:p>
    <w:p>
      <w:pPr>
        <w:spacing w:before="200"/>
      </w:pPr>
    </w:p>
    <w:p>
      <w:pPr>
        <w:spacing w:after="160" w:line="300"/>
      </w:pPr>
      <w:r>
        <w:rPr>
          <w:rFonts w:ascii="Arial" w:cs="Arial" w:eastAsia="Arial" w:hAnsi="Arial"/>
          <w:b w:val="false"/>
          <w:bCs w:val="false"/>
          <w:color w:val="333333"/>
          <w:sz w:val="22"/>
          <w:szCs w:val="22"/>
        </w:rPr>
        <w:t xml:space="preserve">The virial theorem has been used for 155 years as an energy balance equation. IAM proposes it is something deeper: the universal partition function between geometry and information, operating at every scale where gravity produces decoherence. This roadmap tests that proposition everywhere the data allows.</w:t>
      </w:r>
    </w:p>
    <w:p>
      <w:pPr>
        <w:spacing w:before="200"/>
      </w:pPr>
    </w:p>
    <w:p>
      <w:pPr>
        <w:pBdr>
          <w:top w:val="single" w:color="C5932A" w:sz="4" w:space="1"/>
        </w:pBdr>
        <w:spacing w:before="400" w:after="200"/>
        <w:jc w:val="center"/>
      </w:pPr>
    </w:p>
    <w:p>
      <w:pPr>
        <w:spacing w:after="60"/>
        <w:jc w:val="center"/>
      </w:pPr>
      <w:r>
        <w:rPr>
          <w:rFonts w:ascii="Arial" w:cs="Arial" w:eastAsia="Arial" w:hAnsi="Arial"/>
          <w:color w:val="888888"/>
          <w:sz w:val="20"/>
          <w:szCs w:val="20"/>
        </w:rPr>
        <w:t xml:space="preserve">Document Version 1.0 — February 25, 2026</w:t>
      </w:r>
    </w:p>
    <w:p>
      <w:pPr>
        <w:spacing w:after="60"/>
        <w:jc w:val="center"/>
      </w:pPr>
      <w:r>
        <w:rPr>
          <w:rFonts w:ascii="Arial" w:cs="Arial" w:eastAsia="Arial" w:hAnsi="Arial"/>
          <w:color w:val="888888"/>
          <w:sz w:val="20"/>
          <w:szCs w:val="20"/>
        </w:rPr>
        <w:t xml:space="preserve">IAM Project — github.com/hmahaffeyges/IAM-Validation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IAM — Virial Partition Cross-Scale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0"/>
      <w:szCs w:val="30"/>
    </w:rPr>
  </w:style>
  <w:style w:type="paragraph" w:styleId="Heading2">
    <w:name w:val="Heading 2"/>
    <w:basedOn w:val="Normal"/>
    <w:next w:val="Normal"/>
    <w:qFormat/>
    <w:pPr>
      <w:spacing w:before="280" w:after="160"/>
      <w:outlineLvl w:val="1"/>
    </w:pPr>
    <w:rPr>
      <w:rFonts w:ascii="Arial" w:cs="Arial" w:eastAsia="Arial" w:hAnsi="Arial"/>
      <w:b/>
      <w:bCs/>
      <w:color w:val="3A6B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2026-02-25T05:26:52.463Z</dcterms:created>
  <dcterms:modified xsi:type="dcterms:W3CDTF">2026-02-25T05:26:52.463Z</dcterms:modified>
</cp:coreProperties>
</file>

<file path=docProps/custom.xml><?xml version="1.0" encoding="utf-8"?>
<Properties xmlns="http://schemas.openxmlformats.org/officeDocument/2006/custom-properties" xmlns:vt="http://schemas.openxmlformats.org/officeDocument/2006/docPropsVTypes"/>
</file>