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p>
    <w:p>
      <w:pPr>
        <w:spacing w:after="100"/>
        <w:jc w:val="center"/>
      </w:pPr>
      <w:r>
        <w:rPr>
          <w:rFonts w:ascii="Georgia" w:cs="Georgia" w:eastAsia="Georgia" w:hAnsi="Georgia"/>
          <w:b/>
          <w:bCs/>
          <w:color w:val="1a1a2e"/>
          <w:sz w:val="72"/>
          <w:szCs w:val="72"/>
        </w:rPr>
        <w:t xml:space="preserve">IAM</w:t>
      </w:r>
    </w:p>
    <w:p>
      <w:pPr>
        <w:spacing w:after="200"/>
        <w:jc w:val="center"/>
      </w:pPr>
      <w:r>
        <w:rPr>
          <w:rFonts w:ascii="Georgia" w:cs="Georgia" w:eastAsia="Georgia" w:hAnsi="Georgia"/>
          <w:b/>
          <w:bCs/>
          <w:color w:val="555555"/>
          <w:spacing w:val="200"/>
          <w:sz w:val="32"/>
          <w:szCs w:val="32"/>
        </w:rPr>
        <w:t xml:space="preserve">EMPIRICAL EVIDENCE INVENTORY</w:t>
      </w:r>
    </w:p>
    <w:p>
      <w:pPr>
        <w:spacing w:after="600"/>
        <w:jc w:val="center"/>
      </w:pPr>
      <w:r>
        <w:rPr>
          <w:rFonts w:ascii="Georgia" w:cs="Georgia" w:eastAsia="Georgia" w:hAnsi="Georgia"/>
          <w:i/>
          <w:iCs/>
          <w:color w:val="666666"/>
          <w:sz w:val="26"/>
          <w:szCs w:val="26"/>
        </w:rPr>
        <w:t xml:space="preserve">What We Know, What We See, What We Predict</w:t>
      </w:r>
    </w:p>
    <w:p>
      <w:pPr>
        <w:spacing w:after="100"/>
        <w:jc w:val="center"/>
      </w:pPr>
      <w:r>
        <w:rPr>
          <w:rFonts w:ascii="Georgia" w:cs="Georgia" w:eastAsia="Georgia" w:hAnsi="Georgia"/>
          <w:sz w:val="24"/>
          <w:szCs w:val="24"/>
        </w:rPr>
        <w:t xml:space="preserve">H.W. Mahaffey &amp; Claude (Anthropic)</w:t>
      </w:r>
    </w:p>
    <w:p>
      <w:pPr>
        <w:spacing w:after="600"/>
        <w:jc w:val="center"/>
      </w:pPr>
      <w:r>
        <w:rPr>
          <w:rFonts w:ascii="Georgia" w:cs="Georgia" w:eastAsia="Georgia" w:hAnsi="Georgia"/>
          <w:color w:val="888888"/>
          <w:sz w:val="22"/>
          <w:szCs w:val="22"/>
        </w:rPr>
        <w:t xml:space="preserve">February 13, 2026</w:t>
      </w:r>
    </w:p>
    <w:p>
      <w:pPr>
        <w:jc w:val="center"/>
      </w:pPr>
      <w:r>
        <w:rPr>
          <w:rFonts w:ascii="Georgia" w:cs="Georgia" w:eastAsia="Georgia" w:hAnsi="Georgia"/>
          <w:i/>
          <w:iCs/>
          <w:color w:val="888888"/>
          <w:sz w:val="22"/>
          <w:szCs w:val="22"/>
        </w:rPr>
        <w:t xml:space="preserve">Companion to: IAM Holographic Derivation Roadmap</w:t>
      </w:r>
    </w:p>
    <w:p>
      <w:r>
        <w:r>
          <w:br w:type="page"/>
        </w:r>
      </w:r>
    </w:p>
    <w:p>
      <w:pPr>
        <w:pStyle w:val="Heading1"/>
      </w:pPr>
      <w:r>
        <w:t xml:space="preserve">I. IAM Written in Mathematics</w:t>
      </w:r>
    </w:p>
    <w:p>
      <w:pPr>
        <w:spacing w:after="200"/>
      </w:pPr>
      <w:r>
        <w:t xml:space="preserve">The Informational Actualization Model, expressed in the language of the universe:</w:t>
      </w:r>
    </w:p>
    <w:p>
      <w:pPr>
        <w:pStyle w:val="Heading2"/>
      </w:pPr>
      <w:r>
        <w:t xml:space="preserve">The Modified Friedmann Equation</w:t>
      </w:r>
    </w:p>
    <w:p>
      <w:pPr>
        <w:spacing w:after="200"/>
      </w:pPr>
      <w:r>
        <w:rPr>
          <w:rFonts w:ascii="Cambria Math" w:cs="Cambria Math" w:eastAsia="Cambria Math" w:hAnsi="Cambria Math"/>
          <w:b/>
          <w:bCs/>
          <w:sz w:val="26"/>
          <w:szCs w:val="26"/>
        </w:rPr>
        <w:t xml:space="preserve">H²(a) = H₀² [Ω_m a⁻³ + Ω_r a⁻⁴ + Ω_Λ + β ℰ(a)]</w:t>
      </w:r>
    </w:p>
    <w:p>
      <w:pPr>
        <w:spacing w:after="200"/>
      </w:pPr>
      <w:r>
        <w:t xml:space="preserve">This is the standard Friedmann equation with one additional term: βℰ(a). Everything else is standard ΛCDM. The entire model lives in that one term. It says: the expansion rate of the universe receives a contribution from structure formation through informational pressure on the cosmic horizon.</w:t>
      </w:r>
    </w:p>
    <w:p>
      <w:pPr>
        <w:pStyle w:val="Heading2"/>
      </w:pPr>
      <w:r>
        <w:t xml:space="preserve">The Activation Function</w:t>
      </w:r>
    </w:p>
    <w:p>
      <w:pPr>
        <w:spacing w:after="200"/>
      </w:pPr>
      <w:r>
        <w:rPr>
          <w:rFonts w:ascii="Cambria Math" w:cs="Cambria Math" w:eastAsia="Cambria Math" w:hAnsi="Cambria Math"/>
          <w:b/>
          <w:bCs/>
          <w:sz w:val="26"/>
          <w:szCs w:val="26"/>
        </w:rPr>
        <w:t xml:space="preserve">ℰ(a) = exp(1 − 1/a)</w:t>
      </w:r>
    </w:p>
    <w:p>
      <w:pPr>
        <w:spacing w:after="200"/>
      </w:pPr>
      <w:r>
        <w:t xml:space="preserve">This encodes when and how potentiality becomes actuality. At early times (a → 0), ℰ → 0: no structure, no decoherence, no modification. At a = 1 (today), ℰ = 1: full activation. As a → ∞, ℰ → e: saturation, equilibrium. The universe grows up.</w:t>
      </w:r>
    </w:p>
    <w:p>
      <w:pPr>
        <w:pStyle w:val="Heading2"/>
      </w:pPr>
      <w:r>
        <w:t xml:space="preserve">The Dual-Sector Structure</w:t>
      </w:r>
    </w:p>
    <w:p>
      <w:pPr>
        <w:spacing w:after="100"/>
      </w:pPr>
      <w:r>
        <w:rPr>
          <w:b/>
          <w:bCs/>
        </w:rPr>
        <w:t xml:space="preserve">Matter sector: </w:t>
      </w:r>
      <w:r>
        <w:t xml:space="preserve">H²_m(a) = H₀² [Ω_m a⁻³ + Ω_r a⁻⁴ + Ω_Λ + β_m ℰ(a)]     where β_m = 0.157 ± 0.029</w:t>
      </w:r>
    </w:p>
    <w:p>
      <w:pPr>
        <w:spacing w:after="200"/>
      </w:pPr>
      <w:r>
        <w:rPr>
          <w:b/>
          <w:bCs/>
        </w:rPr>
        <w:t xml:space="preserve">Photon sector: </w:t>
      </w:r>
      <w:r>
        <w:t xml:space="preserve">H²_γ(a) = H₀² [Ω_m a⁻³ + Ω_r a⁻⁴ + Ω_Λ + β_γ ℰ(a)]     where β_γ &lt; 1.4 × 10⁻⁶</w:t>
      </w:r>
    </w:p>
    <w:p>
      <w:pPr>
        <w:spacing w:after="200"/>
      </w:pPr>
      <w:r>
        <w:t xml:space="preserve">Matter couples to late-time expansion. Photons do not. The ratio β_γ/β_m &lt; 8.5 × 10⁻⁶ is measured, not assumed. Photons couple at least 100,000× more weakly than matter.</w:t>
      </w:r>
    </w:p>
    <w:p>
      <w:pPr>
        <w:pStyle w:val="Heading2"/>
      </w:pPr>
      <w:r>
        <w:t xml:space="preserve">The Modified Gravity Mapping</w:t>
      </w:r>
    </w:p>
    <w:p>
      <w:pPr>
        <w:spacing w:after="100"/>
      </w:pPr>
      <w:r>
        <w:rPr>
          <w:rFonts w:ascii="Cambria Math" w:cs="Cambria Math" w:eastAsia="Cambria Math" w:hAnsi="Cambria Math"/>
          <w:b/>
          <w:bCs/>
          <w:sz w:val="26"/>
          <w:szCs w:val="26"/>
        </w:rPr>
        <w:t xml:space="preserve">μ(a) = H²_ΛCDM(a) / [H²_ΛCDM(a) + β_m ℰ(a)]  &lt; 1</w:t>
      </w:r>
    </w:p>
    <w:p>
      <w:pPr>
        <w:spacing w:after="200"/>
      </w:pPr>
      <w:r>
        <w:rPr>
          <w:rFonts w:ascii="Cambria Math" w:cs="Cambria Math" w:eastAsia="Cambria Math" w:hAnsi="Cambria Math"/>
          <w:b/>
          <w:bCs/>
          <w:sz w:val="26"/>
          <w:szCs w:val="26"/>
        </w:rPr>
        <w:t xml:space="preserve">Σ(a) = 1</w:t>
      </w:r>
    </w:p>
    <w:p>
      <w:pPr>
        <w:spacing w:after="200"/>
      </w:pPr>
      <w:r>
        <w:t xml:space="preserve">In the standard language of cosmological surveys: matter feels weaker gravity (μ &lt; 1) while photon deflection is unchanged (Σ = 1). At z = 0: μ = 0.864. At z &gt; 3: μ → 1 (recovers ΛCDM). This is the signature Euclid, DES, and CMB-S4 will measure.</w:t>
      </w:r>
    </w:p>
    <w:p>
      <w:pPr>
        <w:pStyle w:val="Heading2"/>
      </w:pPr>
      <w:r>
        <w:t xml:space="preserve">The Growth Equation</w:t>
      </w:r>
    </w:p>
    <w:p>
      <w:pPr>
        <w:spacing w:after="100"/>
      </w:pPr>
      <w:r>
        <w:rPr>
          <w:rFonts w:ascii="Cambria Math" w:cs="Cambria Math" w:eastAsia="Cambria Math" w:hAnsi="Cambria Math"/>
          <w:sz w:val="24"/>
          <w:szCs w:val="24"/>
        </w:rPr>
        <w:t xml:space="preserve">d²D/d(ln a)² + Q(a) dD/d(ln a) = (3/2)Ω_m(a) D</w:t>
      </w:r>
    </w:p>
    <w:p>
      <w:pPr>
        <w:spacing w:after="100"/>
      </w:pPr>
      <w:r>
        <w:t xml:space="preserve">where the modified matter density parameter is:</w:t>
      </w:r>
    </w:p>
    <w:p>
      <w:pPr>
        <w:spacing w:after="200"/>
      </w:pPr>
      <w:r>
        <w:rPr>
          <w:rFonts w:ascii="Cambria Math" w:cs="Cambria Math" w:eastAsia="Cambria Math" w:hAnsi="Cambria Math"/>
          <w:sz w:val="24"/>
          <w:szCs w:val="24"/>
        </w:rPr>
        <w:t xml:space="preserve">Ω_m(a) = [Ω_m a⁻³] / [Ω_m a⁻³ + Ω_r a⁻⁴ + Ω_Λ + β ℰ(a)]</w:t>
      </w:r>
    </w:p>
    <w:p>
      <w:pPr>
        <w:spacing w:after="200"/>
      </w:pPr>
      <w:r>
        <w:t xml:space="preserve">The β term dilutes Ω_m, weakening gravitational clustering. At z = 0: Ω_m drops from 0.315 (standard) to 0.272 (IAM), a 13.6% dilution. Growth is suppressed by 1.36%. This IS the feedback loop in mathematics: expansion modification → diluted Ω_m → weaker gravity → less structure formation → less informational pressure → saturation.</w:t>
      </w:r>
    </w:p>
    <w:p>
      <w:pPr>
        <w:pStyle w:val="Heading2"/>
      </w:pPr>
      <w:r>
        <w:t xml:space="preserve">The Effective Dark Energy Equation of State</w:t>
      </w:r>
    </w:p>
    <w:p>
      <w:pPr>
        <w:spacing w:after="200"/>
      </w:pPr>
      <w:r>
        <w:rPr>
          <w:rFonts w:ascii="Cambria Math" w:cs="Cambria Math" w:eastAsia="Cambria Math" w:hAnsi="Cambria Math"/>
          <w:sz w:val="24"/>
          <w:szCs w:val="24"/>
        </w:rPr>
        <w:t xml:space="preserve">w_eff(a) ≈ −1 − 1/(3a)</w:t>
      </w:r>
    </w:p>
    <w:p>
      <w:pPr>
        <w:spacing w:after="200"/>
      </w:pPr>
      <w:r>
        <w:t xml:space="preserve">Mild phantom behavior (w &lt; −1) at intermediate redshifts, approaching w = −1 at late times. Not a cosmological constant. An evolving informational pressure that saturates. DESI BAO data hints at exactly this kind of evolution.</w:t>
      </w:r>
    </w:p>
    <w:p>
      <w:r>
        <w:r>
          <w:br w:type="page"/>
        </w:r>
      </w:r>
    </w:p>
    <w:p>
      <w:pPr>
        <w:pStyle w:val="Heading1"/>
      </w:pPr>
      <w:r>
        <w:t xml:space="preserve">II. The Evidence Inventory</w:t>
      </w:r>
    </w:p>
    <w:p>
      <w:pPr>
        <w:spacing w:after="100"/>
      </w:pPr>
      <w:r>
        <w:t xml:space="preserve">Every claim is categorized by its current evidentiary status:</w:t>
      </w:r>
    </w:p>
    <w:p>
      <w:pPr>
        <w:pStyle w:val="ListParagraph"/>
        <w:numPr>
          <w:ilvl w:val="0"/>
          <w:numId w:val="2"/>
        </w:numPr>
      </w:pPr>
      <w:r>
        <w:rPr>
          <w:rFonts w:ascii="Arial" w:cs="Arial" w:eastAsia="Arial" w:hAnsi="Arial"/>
          <w:b/>
          <w:bCs/>
          <w:color w:val="27ae60"/>
          <w:sz w:val="20"/>
          <w:szCs w:val="20"/>
        </w:rPr>
        <w:t xml:space="preserve">[CONFIRMED]</w:t>
      </w:r>
      <w:r>
        <w:rPr>
          <w:sz w:val="20"/>
          <w:szCs w:val="20"/>
        </w:rPr>
        <w:t xml:space="preserve">  Directly measured in IAM validation tests with strong statistical significance</w:t>
      </w:r>
    </w:p>
    <w:p>
      <w:pPr>
        <w:pStyle w:val="ListParagraph"/>
        <w:numPr>
          <w:ilvl w:val="0"/>
          <w:numId w:val="2"/>
        </w:numPr>
      </w:pPr>
      <w:r>
        <w:rPr>
          <w:rFonts w:ascii="Arial" w:cs="Arial" w:eastAsia="Arial" w:hAnsi="Arial"/>
          <w:b/>
          <w:bCs/>
          <w:color w:val="2980b9"/>
          <w:sz w:val="20"/>
          <w:szCs w:val="20"/>
        </w:rPr>
        <w:t xml:space="preserve">[STRONG]</w:t>
      </w:r>
      <w:r>
        <w:rPr>
          <w:sz w:val="20"/>
          <w:szCs w:val="20"/>
        </w:rPr>
        <w:t xml:space="preserve">  Supported by IAM results plus independent external data pointing the same direction</w:t>
      </w:r>
    </w:p>
    <w:p>
      <w:pPr>
        <w:pStyle w:val="ListParagraph"/>
        <w:numPr>
          <w:ilvl w:val="0"/>
          <w:numId w:val="2"/>
        </w:numPr>
      </w:pPr>
      <w:r>
        <w:rPr>
          <w:rFonts w:ascii="Arial" w:cs="Arial" w:eastAsia="Arial" w:hAnsi="Arial"/>
          <w:b/>
          <w:bCs/>
          <w:color w:val="f39c12"/>
          <w:sz w:val="20"/>
          <w:szCs w:val="20"/>
        </w:rPr>
        <w:t xml:space="preserve">[CONSISTENT]</w:t>
      </w:r>
      <w:r>
        <w:rPr>
          <w:sz w:val="20"/>
          <w:szCs w:val="20"/>
        </w:rPr>
        <w:t xml:space="preserve">  Compatible with existing data but not yet independently tested at full Boltzmann level</w:t>
      </w:r>
    </w:p>
    <w:p>
      <w:pPr>
        <w:pStyle w:val="ListParagraph"/>
        <w:numPr>
          <w:ilvl w:val="0"/>
          <w:numId w:val="2"/>
        </w:numPr>
      </w:pPr>
      <w:r>
        <w:rPr>
          <w:rFonts w:ascii="Arial" w:cs="Arial" w:eastAsia="Arial" w:hAnsi="Arial"/>
          <w:b/>
          <w:bCs/>
          <w:color w:val="8e44ad"/>
          <w:sz w:val="20"/>
          <w:szCs w:val="20"/>
        </w:rPr>
        <w:t xml:space="preserve">[PREDICTED]</w:t>
      </w:r>
      <w:r>
        <w:rPr>
          <w:sz w:val="20"/>
          <w:szCs w:val="20"/>
        </w:rPr>
        <w:t xml:space="preserve">  Specific falsifiable prediction from IAM awaiting upcoming survey data</w:t>
      </w:r>
    </w:p>
    <w:p>
      <w:pPr>
        <w:pStyle w:val="ListParagraph"/>
        <w:numPr>
          <w:ilvl w:val="0"/>
          <w:numId w:val="2"/>
        </w:numPr>
        <w:spacing w:after="200"/>
      </w:pPr>
      <w:r>
        <w:rPr>
          <w:rFonts w:ascii="Arial" w:cs="Arial" w:eastAsia="Arial" w:hAnsi="Arial"/>
          <w:b/>
          <w:bCs/>
          <w:color w:val="e74c3c"/>
          <w:sz w:val="20"/>
          <w:szCs w:val="20"/>
        </w:rPr>
        <w:t xml:space="preserve">[THEORETICAL]</w:t>
      </w:r>
      <w:r>
        <w:rPr>
          <w:sz w:val="20"/>
          <w:szCs w:val="20"/>
        </w:rPr>
        <w:t xml:space="preserve">  Part of the holographic framework; requires the derivation to formalize</w:t>
      </w:r>
    </w:p>
    <w:p>
      <w:pPr>
        <w:pStyle w:val="Heading2"/>
      </w:pPr>
      <w:r>
        <w:t xml:space="preserve">2.1  The Hubble Tension Resolution</w:t>
      </w:r>
    </w:p>
    <w:p>
      <w:pPr>
        <w:spacing w:after="100"/>
      </w:pPr>
      <w:r>
        <w:rPr>
          <w:rFonts w:ascii="Arial" w:cs="Arial" w:eastAsia="Arial" w:hAnsi="Arial"/>
          <w:b/>
          <w:bCs/>
          <w:color w:val="27ae60"/>
          <w:sz w:val="20"/>
          <w:szCs w:val="20"/>
        </w:rPr>
        <w:t xml:space="preserve">[CONFIRMED — 5.5σ]</w:t>
      </w:r>
    </w:p>
    <w:p>
      <w:pPr>
        <w:spacing w:after="200"/>
      </w:pPr>
      <w:r>
        <w:rPr>
          <w:b/>
          <w:bCs/>
        </w:rPr>
        <w:t xml:space="preserve">What the data shows: </w:t>
      </w:r>
      <w:r>
        <w:t xml:space="preserve">H₀(photon) = 67.4 km/s/Mpc and H₀(matter) = 72.5 ± 1.0 km/s/Mpc. Δχ² = 30.01 over ΛCDM. The improvement comes almost entirely from the H₀ measurements (Δχ²_H₀ = 30.4) while growth rate fits remain essentially unchanged (χ²_RSD goes from 6.36 to 6.75). IAM resolves the tension without robbing Peter to pay Paul.</w:t>
      </w:r>
    </w:p>
    <w:p>
      <w:pPr>
        <w:spacing w:after="200"/>
      </w:pPr>
      <w:r>
        <w:rPr>
          <w:b/>
          <w:bCs/>
        </w:rPr>
        <w:t xml:space="preserve">What this means for the holographic picture: </w:t>
      </w:r>
      <w:r>
        <w:t xml:space="preserve">The dual-sector split is the direct observable consequence of informational pressure affecting matter (which decoheres) but not photons (which don’t). If dark energy is informational pressure from decoherence, we EXPECT matter and photon observables to see different expansion rates. The Hubble tension isn’t a problem — it’s the signature of the mechanism.</w:t>
      </w:r>
    </w:p>
    <w:p>
      <w:pPr>
        <w:pStyle w:val="Heading2"/>
      </w:pPr>
      <w:r>
        <w:t xml:space="preserve">2.2  Sector Separation: Photon Exemption</w:t>
      </w:r>
    </w:p>
    <w:p>
      <w:pPr>
        <w:spacing w:after="100"/>
      </w:pPr>
      <w:r>
        <w:rPr>
          <w:rFonts w:ascii="Arial" w:cs="Arial" w:eastAsia="Arial" w:hAnsi="Arial"/>
          <w:b/>
          <w:bCs/>
          <w:color w:val="27ae60"/>
          <w:sz w:val="20"/>
          <w:szCs w:val="20"/>
        </w:rPr>
        <w:t xml:space="preserve">[CONFIRMED — MCMC 95% CL]</w:t>
      </w:r>
    </w:p>
    <w:p>
      <w:pPr>
        <w:spacing w:after="200"/>
      </w:pPr>
      <w:r>
        <w:rPr>
          <w:b/>
          <w:bCs/>
        </w:rPr>
        <w:t xml:space="preserve">What the data shows: </w:t>
      </w:r>
      <w:r>
        <w:t xml:space="preserve">β_γ/β_m &lt; 8.5 × 10⁻⁶ (MCMC, 95% CL). Photons couple at least 100,000× more weakly than matter. This is empirically measured from the combination of CMB θ_s precision (constraining β_γ) and growth rate data (constraining β_m). The sector ratio emerges from data, not from theoretical assumption.</w:t>
      </w:r>
    </w:p>
    <w:p>
      <w:pPr>
        <w:spacing w:after="200"/>
      </w:pPr>
      <w:r>
        <w:rPr>
          <w:b/>
          <w:bCs/>
        </w:rPr>
        <w:t xml:space="preserve">What this means for the holographic picture: </w:t>
      </w:r>
      <w:r>
        <w:t xml:space="preserve">This is the most direct signature of the mechanism. If informational pressure comes from decoherence, and decoherence requires gravitational bound-state formation, then free-streaming photons should contribute nothing. The extreme ratio (≥100,000×) is exactly what the holographic framework predicts. If the ratio were, say, 10:1 or 100:1, the decoherence explanation would be strained. At 100,000:1, it’s natural.</w:t>
      </w:r>
    </w:p>
    <w:p>
      <w:pPr>
        <w:pStyle w:val="Heading2"/>
      </w:pPr>
      <w:r>
        <w:t xml:space="preserve">2.3  Growth Suppression and σ₈</w:t>
      </w:r>
    </w:p>
    <w:p>
      <w:pPr>
        <w:spacing w:after="100"/>
      </w:pPr>
      <w:r>
        <w:rPr>
          <w:rFonts w:ascii="Arial" w:cs="Arial" w:eastAsia="Arial" w:hAnsi="Arial"/>
          <w:b/>
          <w:bCs/>
          <w:color w:val="2980b9"/>
          <w:sz w:val="20"/>
          <w:szCs w:val="20"/>
        </w:rPr>
        <w:t xml:space="preserve">[STRONG — Matches S₈ tension direction]</w:t>
      </w:r>
    </w:p>
    <w:p>
      <w:pPr>
        <w:spacing w:after="200"/>
      </w:pPr>
      <w:r>
        <w:rPr>
          <w:b/>
          <w:bCs/>
        </w:rPr>
        <w:t xml:space="preserve">What the data shows: </w:t>
      </w:r>
      <w:r>
        <w:t xml:space="preserve">σ₈(IAM) = 0.800, intermediate between Planck (0.811) and DES/KiDS (~0.77). Growth suppressed 1.36% from Ω_m dilution of 13.6%. The S₈ tension between CMB and weak lensing surveys is partially resolved.</w:t>
      </w:r>
    </w:p>
    <w:p>
      <w:pPr>
        <w:spacing w:after="200"/>
      </w:pPr>
      <w:r>
        <w:rPr>
          <w:b/>
          <w:bCs/>
        </w:rPr>
        <w:t xml:space="preserve">What this means for the holographic picture: </w:t>
      </w:r>
      <w:r>
        <w:t xml:space="preserve">Growth suppression IS the feedback loop. The β term diluting Ω_m IS the self-regulation mechanism. The fact that σ₈ = 0.800 falls between CMB and lensing values isn’t a compromise — it’s the quantitative signature of the feedback loop operating at exactly the right strength. The universe is suppressing its own growth by the amount predicted by the informational pressure term. Too much suppression would mean the feedback is too strong (universe stalls). Too little would mean no self-regulation (runaway expansion). 1.36% is the balance point.</w:t>
      </w:r>
    </w:p>
    <w:p>
      <w:pPr>
        <w:pStyle w:val="Heading2"/>
      </w:pPr>
      <w:r>
        <w:t xml:space="preserve">2.4  Pantheon+ Sector Assignment</w:t>
      </w:r>
    </w:p>
    <w:p>
      <w:pPr>
        <w:spacing w:after="100"/>
      </w:pPr>
      <w:r>
        <w:rPr>
          <w:rFonts w:ascii="Arial" w:cs="Arial" w:eastAsia="Arial" w:hAnsi="Arial"/>
          <w:b/>
          <w:bCs/>
          <w:color w:val="27ae60"/>
          <w:sz w:val="20"/>
          <w:szCs w:val="20"/>
        </w:rPr>
        <w:t xml:space="preserve">[CONFIRMED — Three independent tests]</w:t>
      </w:r>
    </w:p>
    <w:p>
      <w:pPr>
        <w:spacing w:after="200"/>
      </w:pPr>
      <w:r>
        <w:rPr>
          <w:b/>
          <w:bCs/>
        </w:rPr>
        <w:t xml:space="preserve">What the data shows: </w:t>
      </w:r>
      <w:r>
        <w:t xml:space="preserve">1,588 Type Ia supernovae independently select the matter sector. Test A (Planck prior): SNe reject photon-sector expansion (β → −0.30, boundary). Test B (SH0ES prior): SNe accept matter-sector normalization (β ≈ 0). Test C (no prior): SNe independently prefer matter sector. Critically, geometric distances remain ΛCDM-consistent (β_distance ≈ 0).</w:t>
      </w:r>
    </w:p>
    <w:p>
      <w:pPr>
        <w:spacing w:after="200"/>
      </w:pPr>
      <w:r>
        <w:rPr>
          <w:b/>
          <w:bCs/>
        </w:rPr>
        <w:t xml:space="preserve">What this means for the holographic picture: </w:t>
      </w:r>
      <w:r>
        <w:t xml:space="preserve">Type Ia supernovae are hosted in galaxies — matter-sector objects that formed through gravitational collapse and decoherence. They SHOULD see matter-sector expansion. They do. The fact that SNe distances are geometrically ΛCDM-consistent while their H₀ normalization is matter-sector confirms that IAM’s effect is on GROWTH (structure formation, decoherence) not on GEOMETRY (photon propagation). This is exactly the distinction between local information encoding (gravity/structure) and global photon propagation (Σ = 1).</w:t>
      </w:r>
    </w:p>
    <w:p>
      <w:pPr>
        <w:pStyle w:val="Heading2"/>
      </w:pPr>
      <w:r>
        <w:t xml:space="preserve">2.5  The μ–Σ Modified Gravity Mapping</w:t>
      </w:r>
    </w:p>
    <w:p>
      <w:pPr>
        <w:spacing w:after="100"/>
      </w:pPr>
      <w:r>
        <w:rPr>
          <w:rFonts w:ascii="Arial" w:cs="Arial" w:eastAsia="Arial" w:hAnsi="Arial"/>
          <w:b/>
          <w:bCs/>
          <w:color w:val="2980b9"/>
          <w:sz w:val="20"/>
          <w:szCs w:val="20"/>
        </w:rPr>
        <w:t xml:space="preserve">[STRONG — μ(a=1) = 0.864 confirmed in CAMB Fortran]</w:t>
      </w:r>
    </w:p>
    <w:p>
      <w:pPr>
        <w:spacing w:after="200"/>
      </w:pPr>
      <w:r>
        <w:rPr>
          <w:b/>
          <w:bCs/>
        </w:rPr>
        <w:t xml:space="preserve">What the data shows: </w:t>
      </w:r>
      <w:r>
        <w:t xml:space="preserve">IAM maps to μ(a) &lt; 1, Σ(a) = 1 in the standard modified gravity parametrization. This was not designed — it was discovered. The analytical prediction μ(z=0) = 0.864 was independently confirmed by CAMB Fortran debug output. Self-consistent σ₈ awaits full MGCAMB run.</w:t>
      </w:r>
    </w:p>
    <w:p>
      <w:pPr>
        <w:spacing w:after="200"/>
      </w:pPr>
      <w:r>
        <w:rPr>
          <w:b/>
          <w:bCs/>
        </w:rPr>
        <w:t xml:space="preserve">What this means for the holographic picture: </w:t>
      </w:r>
      <w:r>
        <w:t xml:space="preserve">μ &lt; 1 means matter feels weaker effective gravity. In the holographic framework, this is because some of the gravitational “energy budget” is being redirected to horizon encoding (informational pressure). Gravity is weaker because part of the decoherence energy goes to expanding the horizon rather than deepening the gravitational potential well. Σ = 1 means photon deflection is standard because photons don’t participate in the decoherence process. The μ–Σ split is the mathematical expression of “gravity and dark energy are two outputs of the same decoherence process.”</w:t>
      </w:r>
    </w:p>
    <w:p>
      <w:r>
        <w:r>
          <w:br w:type="page"/>
        </w:r>
      </w:r>
    </w:p>
    <w:p>
      <w:pPr>
        <w:pStyle w:val="Heading2"/>
      </w:pPr>
      <w:r>
        <w:t xml:space="preserve">2.6  Model Selection: No Overfitting</w:t>
      </w:r>
    </w:p>
    <w:p>
      <w:pPr>
        <w:spacing w:after="100"/>
      </w:pPr>
      <w:r>
        <w:rPr>
          <w:rFonts w:ascii="Arial" w:cs="Arial" w:eastAsia="Arial" w:hAnsi="Arial"/>
          <w:b/>
          <w:bCs/>
          <w:color w:val="27ae60"/>
          <w:sz w:val="20"/>
          <w:szCs w:val="20"/>
        </w:rPr>
        <w:t xml:space="preserve">[CONFIRMED — Decisive by all criteria]</w:t>
      </w:r>
    </w:p>
    <w:p>
      <w:pPr>
        <w:spacing w:after="200"/>
      </w:pPr>
      <w:r>
        <w:rPr>
          <w:b/>
          <w:bCs/>
        </w:rPr>
        <w:t xml:space="preserve">What the data shows: </w:t>
      </w:r>
      <w:r>
        <w:t xml:space="preserve">ΔAIC = 26.0 (decisive, threshold is 10). ΔBIC = 25.4 (very strong, threshold is 10). ΛCDM is 444,000× less likely. These criteria explicitly penalize IAM for having 2 extra parameters. Even after the penalty, IAM is decisively preferred.</w:t>
      </w:r>
    </w:p>
    <w:p>
      <w:pPr>
        <w:spacing w:after="200"/>
      </w:pPr>
      <w:r>
        <w:rPr>
          <w:b/>
          <w:bCs/>
        </w:rPr>
        <w:t xml:space="preserve">What this means for the holographic picture: </w:t>
      </w:r>
      <w:r>
        <w:t xml:space="preserve">The holographic framework predicts exactly two new parameters: β_m (matter-sector coupling) and β_γ (photon-sector coupling). Two parameters, not three, not ten. Two, because there are two fundamentally different ways to interact with the decoherence process: participate in it (matter) or don’t (photons). The model selection scores confirm that two parameters is the right number — the data demands this many and no more.</w:t>
      </w:r>
    </w:p>
    <w:p>
      <w:pPr>
        <w:pStyle w:val="Heading2"/>
      </w:pPr>
      <w:r>
        <w:t xml:space="preserve">2.7  The Activation Function Shape</w:t>
      </w:r>
    </w:p>
    <w:p>
      <w:pPr>
        <w:spacing w:after="100"/>
      </w:pPr>
      <w:r>
        <w:rPr>
          <w:rFonts w:ascii="Arial" w:cs="Arial" w:eastAsia="Arial" w:hAnsi="Arial"/>
          <w:b/>
          <w:bCs/>
          <w:color w:val="f39c12"/>
          <w:sz w:val="20"/>
          <w:szCs w:val="20"/>
        </w:rPr>
        <w:t xml:space="preserve">[CONSISTENT — Matches structure formation timeline]</w:t>
      </w:r>
    </w:p>
    <w:p>
      <w:pPr>
        <w:spacing w:after="200"/>
      </w:pPr>
      <w:r>
        <w:rPr>
          <w:b/>
          <w:bCs/>
        </w:rPr>
        <w:t xml:space="preserve">What the data shows: </w:t>
      </w:r>
      <w:r>
        <w:t xml:space="preserve">ℰ(a) = exp(1 − 1/a) vanishes at early times, turns on near matter-Λ equality (a ~ 0.5, z ~ 1), and reaches full activation today. This timeline matches structure formation: minimal at early times, accelerating during matter domination, and the transition coincides with when dark energy becomes dominant.</w:t>
      </w:r>
    </w:p>
    <w:p>
      <w:pPr>
        <w:spacing w:after="200"/>
      </w:pPr>
      <w:r>
        <w:rPr>
          <w:b/>
          <w:bCs/>
        </w:rPr>
        <w:t xml:space="preserve">What this means for the holographic picture: </w:t>
      </w:r>
      <w:r>
        <w:t xml:space="preserve">If informational pressure comes from decoherence during gravitational collapse, it should turn on when structure formation begins in earnest and level off as structure formation saturates. ℰ(a) has exactly this shape. The derivation in Phase 3 of the Roadmap must show this function emerges from the horizon thermodynamics, not just that it fits the data. But the fact that its shape matches the structure formation timeline is already strong circumstantial evidence that the activation function is tracking a real physical process.</w:t>
      </w:r>
    </w:p>
    <w:p>
      <w:pPr>
        <w:pStyle w:val="Heading2"/>
      </w:pPr>
      <w:r>
        <w:t xml:space="preserve">2.8  Evolving Dark Energy Equation of State</w:t>
      </w:r>
    </w:p>
    <w:p>
      <w:pPr>
        <w:spacing w:after="100"/>
      </w:pPr>
      <w:r>
        <w:rPr>
          <w:rFonts w:ascii="Arial" w:cs="Arial" w:eastAsia="Arial" w:hAnsi="Arial"/>
          <w:b/>
          <w:bCs/>
          <w:color w:val="f39c12"/>
          <w:sz w:val="20"/>
          <w:szCs w:val="20"/>
        </w:rPr>
        <w:t xml:space="preserve">[CONSISTENT — Aligns with DESI BAO hints]</w:t>
      </w:r>
    </w:p>
    <w:p>
      <w:pPr>
        <w:spacing w:after="200"/>
      </w:pPr>
      <w:r>
        <w:rPr>
          <w:b/>
          <w:bCs/>
        </w:rPr>
        <w:t xml:space="preserve">What the data shows: </w:t>
      </w:r>
      <w:r>
        <w:t xml:space="preserve">IAM predicts w_eff(a) ≈ −1 − 1/(3a), giving mild phantom behavior (w &lt; −1) at intermediate redshifts, approaching w = −1 at late times. DESI BAO results (2024) independently hint at time-varying dark energy inconsistent with a pure cosmological constant.</w:t>
      </w:r>
    </w:p>
    <w:p>
      <w:pPr>
        <w:spacing w:after="200"/>
      </w:pPr>
      <w:r>
        <w:rPr>
          <w:b/>
          <w:bCs/>
        </w:rPr>
        <w:t xml:space="preserve">What this means for the holographic picture: </w:t>
      </w:r>
      <w:r>
        <w:t xml:space="preserve">A cosmological constant says dark energy is fixed, eternal, context-independent. Informational pressure says dark energy is dynamic, responsive to structure formation, and evolves. The DESI hint that w ≠ −1 is evidence AGAINST a constant and FOR something dynamic. IAM provides the specific dynamic: informational pressure from decoherence, which was stronger when structure was forming rapidly and weakens as it saturates. If DESI Year 3–5 confirms w ≠ −1, IAM is one of very few frameworks that predicted the specific form of evolution.</w:t>
      </w:r>
    </w:p>
    <w:p>
      <w:pPr>
        <w:pStyle w:val="Heading2"/>
      </w:pPr>
      <w:r>
        <w:t xml:space="preserve">2.9  CMB Consistency and Lensing Compensation</w:t>
      </w:r>
    </w:p>
    <w:p>
      <w:pPr>
        <w:spacing w:after="100"/>
      </w:pPr>
      <w:r>
        <w:rPr>
          <w:rFonts w:ascii="Arial" w:cs="Arial" w:eastAsia="Arial" w:hAnsi="Arial"/>
          <w:b/>
          <w:bCs/>
          <w:color w:val="f39c12"/>
          <w:sz w:val="20"/>
          <w:szCs w:val="20"/>
        </w:rPr>
        <w:t xml:space="preserve">[CONSISTENT — 85% natural compensation]</w:t>
      </w:r>
    </w:p>
    <w:p>
      <w:pPr>
        <w:spacing w:after="200"/>
      </w:pPr>
      <w:r>
        <w:rPr>
          <w:b/>
          <w:bCs/>
        </w:rPr>
        <w:t xml:space="preserve">What the data shows: </w:t>
      </w:r>
      <w:r>
        <w:t xml:space="preserve">Modified H(z) creates a +1.02% geometric shift in CMB lensing. Growth suppression creates a −0.87% reduction. These naturally compensate to 85% without tuning. The remaining 15% is covered by β_γ &lt; 10⁻⁵. Full CMB power spectrum consistency awaits MGCAMB validation.</w:t>
      </w:r>
    </w:p>
    <w:p>
      <w:pPr>
        <w:spacing w:after="200"/>
      </w:pPr>
      <w:r>
        <w:rPr>
          <w:b/>
          <w:bCs/>
        </w:rPr>
        <w:t xml:space="preserve">What this means for the holographic picture: </w:t>
      </w:r>
      <w:r>
        <w:t xml:space="preserve">The 85% compensation is not fine-tuned — it’s a natural consequence of the feedback loop. The same β term that modifies H(z) (causing the geometric shift) also suppresses growth (reducing lensing power). They partially cancel BECAUSE they come from the same source. This is what self-regulation looks like in the CMB: the system doesn’t need external tuning because the mechanism that creates the problem also creates the solution. The feedback loop is self-consistent.</w:t>
      </w:r>
    </w:p>
    <w:p>
      <w:r>
        <w:r>
          <w:br w:type="page"/>
        </w:r>
      </w:r>
    </w:p>
    <w:p>
      <w:pPr>
        <w:pStyle w:val="Heading2"/>
      </w:pPr>
      <w:r>
        <w:t xml:space="preserve">2.10  CAMB Fortran Confirmation</w:t>
      </w:r>
    </w:p>
    <w:p>
      <w:pPr>
        <w:spacing w:after="100"/>
      </w:pPr>
      <w:r>
        <w:rPr>
          <w:rFonts w:ascii="Arial" w:cs="Arial" w:eastAsia="Arial" w:hAnsi="Arial"/>
          <w:b/>
          <w:bCs/>
          <w:color w:val="27ae60"/>
          <w:sz w:val="20"/>
          <w:szCs w:val="20"/>
        </w:rPr>
        <w:t xml:space="preserve">[CONFIRMED — Independent numerical verification]</w:t>
      </w:r>
    </w:p>
    <w:p>
      <w:pPr>
        <w:spacing w:after="200"/>
      </w:pPr>
      <w:r>
        <w:rPr>
          <w:b/>
          <w:bCs/>
        </w:rPr>
        <w:t xml:space="preserve">What the data shows: </w:t>
      </w:r>
      <w:r>
        <w:t xml:space="preserve">The μ(a) function was implemented in CAMB’s Fortran source code (equations.f90). Debug output confirmed μ(a=1) = 0.8644, matching the analytical prediction exactly. The Python-level prediction and the Fortran-level computation agree to 4 decimal places independently.</w:t>
      </w:r>
    </w:p>
    <w:p>
      <w:pPr>
        <w:spacing w:after="200"/>
      </w:pPr>
      <w:r>
        <w:rPr>
          <w:b/>
          <w:bCs/>
        </w:rPr>
        <w:t xml:space="preserve">What this means for the holographic picture: </w:t>
      </w:r>
      <w:r>
        <w:t xml:space="preserve">The μ–Σ mapping isn’t just a mathematical rewriting — it produces the correct numerical values when computed inside an actual Boltzmann solver. This is a necessary (though not sufficient) condition for the full MGCAMB run to succeed. The analytical prediction, the Python calculation, and the Fortran computation all agree. Three independent implementations, one answer.</w:t>
      </w:r>
    </w:p>
    <w:p>
      <w:pPr>
        <w:pStyle w:val="Heading2"/>
      </w:pPr>
      <w:r>
        <w:t xml:space="preserve">2.11  Specific Falsifiable Predictions</w:t>
      </w:r>
    </w:p>
    <w:p>
      <w:pPr>
        <w:spacing w:after="100"/>
      </w:pPr>
      <w:r>
        <w:rPr>
          <w:rFonts w:ascii="Arial" w:cs="Arial" w:eastAsia="Arial" w:hAnsi="Arial"/>
          <w:b/>
          <w:bCs/>
          <w:color w:val="8e44ad"/>
          <w:sz w:val="20"/>
          <w:szCs w:val="20"/>
        </w:rPr>
        <w:t xml:space="preserve">[PREDICTED — Awaiting upcoming surveys]</w:t>
      </w:r>
    </w:p>
    <w:p>
      <w:pPr>
        <w:spacing w:after="200"/>
      </w:pPr>
      <w:r>
        <w:t xml:space="preserve">IAM makes concrete, falsifiable predictions that distinguish it from ΛCDM and from other modified gravity models:</w:t>
      </w:r>
    </w:p>
    <w:p>
      <w:pPr>
        <w:pStyle w:val="ListParagraph"/>
        <w:numPr>
          <w:ilvl w:val="0"/>
          <w:numId w:val="2"/>
        </w:numPr>
      </w:pPr>
      <w:r>
        <w:rPr>
          <w:b/>
          <w:bCs/>
        </w:rPr>
        <w:t xml:space="preserve">μ(z=0) = 0.864, μ(z=0.5) = 0.92, μ(z=1) = 0.98, μ(z&gt;3) = 1.0 </w:t>
      </w:r>
      <w:r>
        <w:t xml:space="preserve">— specific μ(z) curve testable by Euclid, DES, CMB-S4</w:t>
      </w:r>
    </w:p>
    <w:p>
      <w:pPr>
        <w:pStyle w:val="ListParagraph"/>
        <w:numPr>
          <w:ilvl w:val="0"/>
          <w:numId w:val="2"/>
        </w:numPr>
      </w:pPr>
      <w:r>
        <w:rPr>
          <w:b/>
          <w:bCs/>
        </w:rPr>
        <w:t xml:space="preserve">Σ(z) = 1.00 at all redshifts </w:t>
      </w:r>
      <w:r>
        <w:t xml:space="preserve">— no modification to photon deflection, testable by CMB lensing</w:t>
      </w:r>
    </w:p>
    <w:p>
      <w:pPr>
        <w:pStyle w:val="ListParagraph"/>
        <w:numPr>
          <w:ilvl w:val="0"/>
          <w:numId w:val="2"/>
        </w:numPr>
      </w:pPr>
      <w:r>
        <w:rPr>
          <w:b/>
          <w:bCs/>
        </w:rPr>
        <w:t xml:space="preserve">S₈ = 0.78 ± 0.01 </w:t>
      </w:r>
      <w:r>
        <w:t xml:space="preserve">— specific value testable by Euclid weak lensing</w:t>
      </w:r>
    </w:p>
    <w:p>
      <w:pPr>
        <w:pStyle w:val="ListParagraph"/>
        <w:numPr>
          <w:ilvl w:val="0"/>
          <w:numId w:val="2"/>
        </w:numPr>
      </w:pPr>
      <w:r>
        <w:rPr>
          <w:b/>
          <w:bCs/>
        </w:rPr>
        <w:t xml:space="preserve">σ₈ = 0.800 </w:t>
      </w:r>
      <w:r>
        <w:t xml:space="preserve">— from MGCAMB full Boltzmann run (next validation milestone)</w:t>
      </w:r>
    </w:p>
    <w:p>
      <w:pPr>
        <w:pStyle w:val="ListParagraph"/>
        <w:numPr>
          <w:ilvl w:val="0"/>
          <w:numId w:val="2"/>
        </w:numPr>
      </w:pPr>
      <w:r>
        <w:rPr>
          <w:b/>
          <w:bCs/>
        </w:rPr>
        <w:t xml:space="preserve">w(z) evolving, not constant </w:t>
      </w:r>
      <w:r>
        <w:t xml:space="preserve">— DESI Year 3–5 will measure dark energy evolution to percent-level precision</w:t>
      </w:r>
    </w:p>
    <w:p>
      <w:pPr>
        <w:pStyle w:val="ListParagraph"/>
        <w:numPr>
          <w:ilvl w:val="0"/>
          <w:numId w:val="2"/>
        </w:numPr>
      </w:pPr>
      <w:r>
        <w:rPr>
          <w:b/>
          <w:bCs/>
        </w:rPr>
        <w:t xml:space="preserve">GW standard sirens: H₀ ≈ 72.5 km/s/Mpc </w:t>
      </w:r>
      <w:r>
        <w:t xml:space="preserve">— gravitational wave events are matter-sector, should agree with distance ladder</w:t>
      </w:r>
    </w:p>
    <w:p>
      <w:pPr>
        <w:pStyle w:val="ListParagraph"/>
        <w:numPr>
          <w:ilvl w:val="0"/>
          <w:numId w:val="2"/>
        </w:numPr>
        <w:spacing w:after="200"/>
      </w:pPr>
      <w:r>
        <w:rPr>
          <w:b/>
          <w:bCs/>
        </w:rPr>
        <w:t xml:space="preserve">No big rip, equilibrium expansion </w:t>
      </w:r>
      <w:r>
        <w:t xml:space="preserve">— expansion rate saturates rather than accelerating indefinitely</w:t>
      </w:r>
    </w:p>
    <w:p>
      <w:pPr>
        <w:pStyle w:val="Heading2"/>
      </w:pPr>
      <w:r>
        <w:t xml:space="preserve">2.12  The Holographic Framework</w:t>
      </w:r>
    </w:p>
    <w:p>
      <w:pPr>
        <w:spacing w:after="100"/>
      </w:pPr>
      <w:r>
        <w:rPr>
          <w:rFonts w:ascii="Arial" w:cs="Arial" w:eastAsia="Arial" w:hAnsi="Arial"/>
          <w:b/>
          <w:bCs/>
          <w:color w:val="e74c3c"/>
          <w:sz w:val="20"/>
          <w:szCs w:val="20"/>
        </w:rPr>
        <w:t xml:space="preserve">[THEORETICAL — Awaiting formal derivation]</w:t>
      </w:r>
    </w:p>
    <w:p>
      <w:pPr>
        <w:spacing w:after="200"/>
      </w:pPr>
      <w:r>
        <w:t xml:space="preserve">The following elements of the holographic picture are physically motivated and consistent with all empirical results, but have not yet been formalized mathematically. This is the work of the Holographic Derivation Roadmap:</w:t>
      </w:r>
    </w:p>
    <w:p>
      <w:pPr>
        <w:pStyle w:val="ListParagraph"/>
        <w:numPr>
          <w:ilvl w:val="0"/>
          <w:numId w:val="2"/>
        </w:numPr>
      </w:pPr>
      <w:r>
        <w:rPr>
          <w:b/>
          <w:bCs/>
        </w:rPr>
        <w:t xml:space="preserve">Dark energy = informational pressure from decoherence encoded on the cosmic horizon. </w:t>
      </w:r>
      <w:r>
        <w:t xml:space="preserve">Consistent with all IAM results. Requires Jacobson-type derivation to formalize.</w:t>
      </w:r>
    </w:p>
    <w:p>
      <w:pPr>
        <w:pStyle w:val="ListParagraph"/>
        <w:numPr>
          <w:ilvl w:val="0"/>
          <w:numId w:val="2"/>
        </w:numPr>
      </w:pPr>
      <w:r>
        <w:rPr>
          <w:b/>
          <w:bCs/>
        </w:rPr>
        <w:t xml:space="preserve">Gravity and dark energy are two outputs of the same decoherence process. </w:t>
      </w:r>
      <w:r>
        <w:t xml:space="preserve">Local (attractive) vs global (expansive). Consistent with μ &lt; 1 mapping. Connects to Verlinde’s entropic gravity.</w:t>
      </w:r>
    </w:p>
    <w:p>
      <w:pPr>
        <w:pStyle w:val="ListParagraph"/>
        <w:numPr>
          <w:ilvl w:val="0"/>
          <w:numId w:val="2"/>
        </w:numPr>
      </w:pPr>
      <w:r>
        <w:rPr>
          <w:b/>
          <w:bCs/>
        </w:rPr>
        <w:t xml:space="preserve">Black holes as early-universe encoding surfaces. </w:t>
      </w:r>
      <w:r>
        <w:t xml:space="preserve">Explains information budget problem and JWST supermassive BH puzzle. Testable if primordial BH population can be constrained.</w:t>
      </w:r>
    </w:p>
    <w:p>
      <w:pPr>
        <w:pStyle w:val="ListParagraph"/>
        <w:numPr>
          <w:ilvl w:val="0"/>
          <w:numId w:val="2"/>
        </w:numPr>
      </w:pPr>
      <w:r>
        <w:rPr>
          <w:b/>
          <w:bCs/>
        </w:rPr>
        <w:t xml:space="preserve">ℰ(a) tracks transition from local to global horizon dominance. </w:t>
      </w:r>
      <w:r>
        <w:t xml:space="preserve">Natural explanation for activation function shape. Must emerge from the derivation.</w:t>
      </w:r>
    </w:p>
    <w:p>
      <w:pPr>
        <w:pStyle w:val="ListParagraph"/>
        <w:numPr>
          <w:ilvl w:val="0"/>
          <w:numId w:val="2"/>
        </w:numPr>
        <w:spacing w:after="200"/>
      </w:pPr>
      <w:r>
        <w:rPr>
          <w:b/>
          <w:bCs/>
        </w:rPr>
        <w:t xml:space="preserve">Feedback loop (gravity → decoherence → pressure → modified gravity) produces saturation. </w:t>
      </w:r>
      <w:r>
        <w:t xml:space="preserve">Explains why ℰ → e, not ∞. Predicts equilibrium, not heat death.</w:t>
      </w:r>
    </w:p>
    <w:p>
      <w:r>
        <w:r>
          <w:br w:type="page"/>
        </w:r>
      </w:r>
    </w:p>
    <w:p>
      <w:pPr>
        <w:pStyle w:val="Heading1"/>
      </w:pPr>
      <w:r>
        <w:t xml:space="preserve">III. Summary Scorecard</w:t>
      </w:r>
    </w:p>
    <w:p>
      <w:pPr>
        <w:spacing w:after="200"/>
      </w:pPr>
      <w:r>
        <w:t xml:space="preserve">At a glance — what is established, what is supported, what remains to be shown: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2430"/>
        <w:gridCol w:w="2430"/>
      </w:tblGrid>
      <w:tr>
        <w:tc>
          <w:tcPr>
            <w:tcW w:type="dxa" w:w="4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Claim</w:t>
            </w:r>
          </w:p>
        </w:tc>
        <w:tc>
          <w:tcPr>
            <w:tcW w:type="dxa" w:w="243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c>
          <w:tcPr>
            <w:tcW w:type="dxa" w:w="243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Evidence</w:t>
            </w:r>
          </w:p>
        </w:tc>
      </w:tr>
      <w:tr>
        <w:tc>
          <w:tcPr>
            <w:tcW w:type="dxa" w:w="450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r>
              <w:rPr>
                <w:rFonts w:ascii="Arial" w:cs="Arial" w:eastAsia="Arial" w:hAnsi="Arial"/>
                <w:sz w:val="20"/>
                <w:szCs w:val="20"/>
              </w:rPr>
              <w:t xml:space="preserve">Hubble tension resolved</w:t>
            </w:r>
          </w:p>
        </w:tc>
        <w:tc>
          <w:tcPr>
            <w:tcW w:type="dxa" w:w="243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CONFIRMED</w:t>
            </w:r>
          </w:p>
        </w:tc>
        <w:tc>
          <w:tcPr>
            <w:tcW w:type="dxa" w:w="243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pPr>
              <w:jc w:val="center"/>
            </w:pPr>
            <w:r>
              <w:rPr>
                <w:rFonts w:ascii="Arial" w:cs="Arial" w:eastAsia="Arial" w:hAnsi="Arial"/>
                <w:sz w:val="18"/>
                <w:szCs w:val="18"/>
              </w:rPr>
              <w:t xml:space="preserve">Δχ² = 30, 5.5σ</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Photon exemption (β_γ/β_m &lt; 10⁻⁵)</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CONFIRMED</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MCMC 95% CL</w:t>
            </w:r>
          </w:p>
        </w:tc>
      </w:tr>
      <w:tr>
        <w:tc>
          <w:tcPr>
            <w:tcW w:type="dxa" w:w="450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r>
              <w:rPr>
                <w:rFonts w:ascii="Arial" w:cs="Arial" w:eastAsia="Arial" w:hAnsi="Arial"/>
                <w:sz w:val="20"/>
                <w:szCs w:val="20"/>
              </w:rPr>
              <w:t xml:space="preserve">Pantheon+ sector assignment</w:t>
            </w:r>
          </w:p>
        </w:tc>
        <w:tc>
          <w:tcPr>
            <w:tcW w:type="dxa" w:w="243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CONFIRMED</w:t>
            </w:r>
          </w:p>
        </w:tc>
        <w:tc>
          <w:tcPr>
            <w:tcW w:type="dxa" w:w="243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pPr>
              <w:jc w:val="center"/>
            </w:pPr>
            <w:r>
              <w:rPr>
                <w:rFonts w:ascii="Arial" w:cs="Arial" w:eastAsia="Arial" w:hAnsi="Arial"/>
                <w:sz w:val="18"/>
                <w:szCs w:val="18"/>
              </w:rPr>
              <w:t xml:space="preserve">3 independent tests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μ(a=1) = 0.864 numerical value</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CONFIRMED</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CAMB Fortran verified</w:t>
            </w:r>
          </w:p>
        </w:tc>
      </w:tr>
      <w:tr>
        <w:tc>
          <w:tcPr>
            <w:tcW w:type="dxa" w:w="450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r>
              <w:rPr>
                <w:rFonts w:ascii="Arial" w:cs="Arial" w:eastAsia="Arial" w:hAnsi="Arial"/>
                <w:sz w:val="20"/>
                <w:szCs w:val="20"/>
              </w:rPr>
              <w:t xml:space="preserve">No overfitting</w:t>
            </w:r>
          </w:p>
        </w:tc>
        <w:tc>
          <w:tcPr>
            <w:tcW w:type="dxa" w:w="243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CONFIRMED</w:t>
            </w:r>
          </w:p>
        </w:tc>
        <w:tc>
          <w:tcPr>
            <w:tcW w:type="dxa" w:w="243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pPr>
              <w:jc w:val="center"/>
            </w:pPr>
            <w:r>
              <w:rPr>
                <w:rFonts w:ascii="Arial" w:cs="Arial" w:eastAsia="Arial" w:hAnsi="Arial"/>
                <w:sz w:val="18"/>
                <w:szCs w:val="18"/>
              </w:rPr>
              <w:t xml:space="preserve">ΔAIC=26, ΔBIC=25</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σ₈ = 0.800 (partial S₈ resolution)</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980b9"/>
                <w:sz w:val="20"/>
                <w:szCs w:val="20"/>
              </w:rPr>
              <w:t xml:space="preserve">STRONG</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Matches lensing surveys</w:t>
            </w:r>
          </w:p>
        </w:tc>
      </w:tr>
      <w:tr>
        <w:tc>
          <w:tcPr>
            <w:tcW w:type="dxa" w:w="450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r>
              <w:rPr>
                <w:rFonts w:ascii="Arial" w:cs="Arial" w:eastAsia="Arial" w:hAnsi="Arial"/>
                <w:sz w:val="20"/>
                <w:szCs w:val="20"/>
              </w:rPr>
              <w:t xml:space="preserve">μ &lt; 1, Σ = 1 mapping</w:t>
            </w:r>
          </w:p>
        </w:tc>
        <w:tc>
          <w:tcPr>
            <w:tcW w:type="dxa" w:w="243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pPr>
              <w:jc w:val="center"/>
            </w:pPr>
            <w:r>
              <w:rPr>
                <w:rFonts w:ascii="Arial" w:cs="Arial" w:eastAsia="Arial" w:hAnsi="Arial"/>
                <w:b/>
                <w:bCs/>
                <w:color w:val="2980b9"/>
                <w:sz w:val="20"/>
                <w:szCs w:val="20"/>
              </w:rPr>
              <w:t xml:space="preserve">STRONG</w:t>
            </w:r>
          </w:p>
        </w:tc>
        <w:tc>
          <w:tcPr>
            <w:tcW w:type="dxa" w:w="243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pPr>
              <w:jc w:val="center"/>
            </w:pPr>
            <w:r>
              <w:rPr>
                <w:rFonts w:ascii="Arial" w:cs="Arial" w:eastAsia="Arial" w:hAnsi="Arial"/>
                <w:sz w:val="18"/>
                <w:szCs w:val="18"/>
              </w:rPr>
              <w:t xml:space="preserve">Analytically + Fortran confirmed</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CMB lensing 85% compensation</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39c12"/>
                <w:sz w:val="20"/>
                <w:szCs w:val="20"/>
              </w:rPr>
              <w:t xml:space="preserve">CONSISTENT</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Awaits MGCAMB</w:t>
            </w:r>
          </w:p>
        </w:tc>
      </w:tr>
      <w:tr>
        <w:tc>
          <w:tcPr>
            <w:tcW w:type="dxa" w:w="450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r>
              <w:rPr>
                <w:rFonts w:ascii="Arial" w:cs="Arial" w:eastAsia="Arial" w:hAnsi="Arial"/>
                <w:sz w:val="20"/>
                <w:szCs w:val="20"/>
              </w:rPr>
              <w:t xml:space="preserve">w(z) evolving (not constant)</w:t>
            </w:r>
          </w:p>
        </w:tc>
        <w:tc>
          <w:tcPr>
            <w:tcW w:type="dxa" w:w="243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pPr>
              <w:jc w:val="center"/>
            </w:pPr>
            <w:r>
              <w:rPr>
                <w:rFonts w:ascii="Arial" w:cs="Arial" w:eastAsia="Arial" w:hAnsi="Arial"/>
                <w:b/>
                <w:bCs/>
                <w:color w:val="f39c12"/>
                <w:sz w:val="20"/>
                <w:szCs w:val="20"/>
              </w:rPr>
              <w:t xml:space="preserve">CONSISTENT</w:t>
            </w:r>
          </w:p>
        </w:tc>
        <w:tc>
          <w:tcPr>
            <w:tcW w:type="dxa" w:w="243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pPr>
              <w:jc w:val="center"/>
            </w:pPr>
            <w:r>
              <w:rPr>
                <w:rFonts w:ascii="Arial" w:cs="Arial" w:eastAsia="Arial" w:hAnsi="Arial"/>
                <w:sz w:val="18"/>
                <w:szCs w:val="18"/>
              </w:rPr>
              <w:t xml:space="preserve">DESI BAO hints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ℰ(a) shape matches structure formation</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39c12"/>
                <w:sz w:val="20"/>
                <w:szCs w:val="20"/>
              </w:rPr>
              <w:t xml:space="preserve">CONSISTENT</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Timeline alignment</w:t>
            </w:r>
          </w:p>
        </w:tc>
      </w:tr>
      <w:tr>
        <w:tc>
          <w:tcPr>
            <w:tcW w:type="dxa" w:w="450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r>
              <w:rPr>
                <w:rFonts w:ascii="Arial" w:cs="Arial" w:eastAsia="Arial" w:hAnsi="Arial"/>
                <w:sz w:val="20"/>
                <w:szCs w:val="20"/>
              </w:rPr>
              <w:t xml:space="preserve">Euclid: S₈ = 0.78, μ(z=0.5) = 0.92</w:t>
            </w:r>
          </w:p>
        </w:tc>
        <w:tc>
          <w:tcPr>
            <w:tcW w:type="dxa" w:w="243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pPr>
              <w:jc w:val="center"/>
            </w:pPr>
            <w:r>
              <w:rPr>
                <w:rFonts w:ascii="Arial" w:cs="Arial" w:eastAsia="Arial" w:hAnsi="Arial"/>
                <w:b/>
                <w:bCs/>
                <w:color w:val="8e44ad"/>
                <w:sz w:val="20"/>
                <w:szCs w:val="20"/>
              </w:rPr>
              <w:t xml:space="preserve">PREDICTED</w:t>
            </w:r>
          </w:p>
        </w:tc>
        <w:tc>
          <w:tcPr>
            <w:tcW w:type="dxa" w:w="243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pPr>
              <w:jc w:val="center"/>
            </w:pPr>
            <w:r>
              <w:rPr>
                <w:rFonts w:ascii="Arial" w:cs="Arial" w:eastAsia="Arial" w:hAnsi="Arial"/>
                <w:sz w:val="18"/>
                <w:szCs w:val="18"/>
              </w:rPr>
              <w:t xml:space="preserve">2025–2030</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DESI Year 5: β_m to 1%</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8e44ad"/>
                <w:sz w:val="20"/>
                <w:szCs w:val="20"/>
              </w:rPr>
              <w:t xml:space="preserve">PREDICTED</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~2029</w:t>
            </w:r>
          </w:p>
        </w:tc>
      </w:tr>
      <w:tr>
        <w:tc>
          <w:tcPr>
            <w:tcW w:type="dxa" w:w="450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r>
              <w:rPr>
                <w:rFonts w:ascii="Arial" w:cs="Arial" w:eastAsia="Arial" w:hAnsi="Arial"/>
                <w:sz w:val="20"/>
                <w:szCs w:val="20"/>
              </w:rPr>
              <w:t xml:space="preserve">GW sirens: H₀ ≈ 72.5</w:t>
            </w:r>
          </w:p>
        </w:tc>
        <w:tc>
          <w:tcPr>
            <w:tcW w:type="dxa" w:w="243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pPr>
              <w:jc w:val="center"/>
            </w:pPr>
            <w:r>
              <w:rPr>
                <w:rFonts w:ascii="Arial" w:cs="Arial" w:eastAsia="Arial" w:hAnsi="Arial"/>
                <w:b/>
                <w:bCs/>
                <w:color w:val="8e44ad"/>
                <w:sz w:val="20"/>
                <w:szCs w:val="20"/>
              </w:rPr>
              <w:t xml:space="preserve">PREDICTED</w:t>
            </w:r>
          </w:p>
        </w:tc>
        <w:tc>
          <w:tcPr>
            <w:tcW w:type="dxa" w:w="243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pPr>
              <w:jc w:val="center"/>
            </w:pPr>
            <w:r>
              <w:rPr>
                <w:rFonts w:ascii="Arial" w:cs="Arial" w:eastAsia="Arial" w:hAnsi="Arial"/>
                <w:sz w:val="18"/>
                <w:szCs w:val="18"/>
              </w:rPr>
              <w:t xml:space="preserve">2030+</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big rip / equilibrium</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8e44ad"/>
                <w:sz w:val="20"/>
                <w:szCs w:val="20"/>
              </w:rPr>
              <w:t xml:space="preserve">PREDICTED</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Long-term</w:t>
            </w:r>
          </w:p>
        </w:tc>
      </w:tr>
      <w:tr>
        <w:tc>
          <w:tcPr>
            <w:tcW w:type="dxa" w:w="450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r>
              <w:rPr>
                <w:rFonts w:ascii="Arial" w:cs="Arial" w:eastAsia="Arial" w:hAnsi="Arial"/>
                <w:sz w:val="20"/>
                <w:szCs w:val="20"/>
              </w:rPr>
              <w:t xml:space="preserve">Dark energy = informational pressure</w:t>
            </w:r>
          </w:p>
        </w:tc>
        <w:tc>
          <w:tcPr>
            <w:tcW w:type="dxa" w:w="243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pPr>
              <w:jc w:val="center"/>
            </w:pPr>
            <w:r>
              <w:rPr>
                <w:rFonts w:ascii="Arial" w:cs="Arial" w:eastAsia="Arial" w:hAnsi="Arial"/>
                <w:b/>
                <w:bCs/>
                <w:color w:val="e74c3c"/>
                <w:sz w:val="20"/>
                <w:szCs w:val="20"/>
              </w:rPr>
              <w:t xml:space="preserve">THEORETICAL</w:t>
            </w:r>
          </w:p>
        </w:tc>
        <w:tc>
          <w:tcPr>
            <w:tcW w:type="dxa" w:w="243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pPr>
              <w:jc w:val="center"/>
            </w:pPr>
            <w:r>
              <w:rPr>
                <w:rFonts w:ascii="Arial" w:cs="Arial" w:eastAsia="Arial" w:hAnsi="Arial"/>
                <w:sz w:val="18"/>
                <w:szCs w:val="18"/>
              </w:rPr>
              <w:t xml:space="preserve">Requires derivation</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Gravity &amp; DE same process</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e74c3c"/>
                <w:sz w:val="20"/>
                <w:szCs w:val="20"/>
              </w:rPr>
              <w:t xml:space="preserve">THEORETICAL</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Requires derivation</w:t>
            </w:r>
          </w:p>
        </w:tc>
      </w:tr>
      <w:tr>
        <w:tc>
          <w:tcPr>
            <w:tcW w:type="dxa" w:w="450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r>
              <w:rPr>
                <w:rFonts w:ascii="Arial" w:cs="Arial" w:eastAsia="Arial" w:hAnsi="Arial"/>
                <w:sz w:val="20"/>
                <w:szCs w:val="20"/>
              </w:rPr>
              <w:t xml:space="preserve">BH as early encoding surfaces</w:t>
            </w:r>
          </w:p>
        </w:tc>
        <w:tc>
          <w:tcPr>
            <w:tcW w:type="dxa" w:w="243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pPr>
              <w:jc w:val="center"/>
            </w:pPr>
            <w:r>
              <w:rPr>
                <w:rFonts w:ascii="Arial" w:cs="Arial" w:eastAsia="Arial" w:hAnsi="Arial"/>
                <w:b/>
                <w:bCs/>
                <w:color w:val="e74c3c"/>
                <w:sz w:val="20"/>
                <w:szCs w:val="20"/>
              </w:rPr>
              <w:t xml:space="preserve">THEORETICAL</w:t>
            </w:r>
          </w:p>
        </w:tc>
        <w:tc>
          <w:tcPr>
            <w:tcW w:type="dxa" w:w="2430"/>
            <w:tcBorders>
              <w:top w:val="single" w:color="CCCCCC" w:sz="1"/>
              <w:left w:val="single" w:color="CCCCCC" w:sz="1"/>
              <w:bottom w:val="single" w:color="CCCCCC" w:sz="1"/>
              <w:right w:val="single" w:color="CCCCCC" w:sz="1"/>
            </w:tcBorders>
            <w:shd w:fill="f8f8fa" w:val="clear"/>
            <w:tcMar>
              <w:top w:type="dxa" w:w="80"/>
              <w:left w:type="dxa" w:w="120"/>
              <w:bottom w:type="dxa" w:w="80"/>
              <w:right w:type="dxa" w:w="120"/>
            </w:tcMar>
          </w:tcPr>
          <w:p>
            <w:pPr>
              <w:jc w:val="center"/>
            </w:pPr>
            <w:r>
              <w:rPr>
                <w:rFonts w:ascii="Arial" w:cs="Arial" w:eastAsia="Arial" w:hAnsi="Arial"/>
                <w:sz w:val="18"/>
                <w:szCs w:val="18"/>
              </w:rPr>
              <w:t xml:space="preserve">Requires derivation</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ℰ(a) derived from thermodynamics</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e74c3c"/>
                <w:sz w:val="20"/>
                <w:szCs w:val="20"/>
              </w:rPr>
              <w:t xml:space="preserve">THEORETICAL</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Requires derivation</w:t>
            </w:r>
          </w:p>
        </w:tc>
      </w:tr>
    </w:tbl>
    <w:p>
      <w:pPr>
        <w:spacing w:before="400"/>
      </w:pPr>
      <w:r>
        <w:rPr>
          <w:b/>
          <w:bCs/>
        </w:rPr>
        <w:t xml:space="preserve">Bottom line: </w:t>
      </w:r>
      <w:r>
        <w:t xml:space="preserve">Five claims confirmed at high statistical significance. Two with strong external support. Three consistent with independent data. Four specific predictions awaiting upcoming surveys. Four theoretical elements requiring the holographic derivation. The empirical foundation is solid. The theoretical edifice is ready to be built on it.</w:t>
      </w:r>
    </w:p>
    <w:p>
      <w:pPr>
        <w:spacing w:before="400"/>
        <w:jc w:val="center"/>
      </w:pPr>
      <w:r>
        <w:rPr>
          <w:color w:val="CCCCCC"/>
          <w:sz w:val="28"/>
          <w:szCs w:val="28"/>
        </w:rPr>
        <w:t xml:space="preserve">— — —</w:t>
      </w:r>
    </w:p>
    <w:p>
      <w:pPr>
        <w:spacing w:before="300"/>
        <w:jc w:val="center"/>
      </w:pPr>
      <w:r>
        <w:rPr>
          <w:i/>
          <w:iCs/>
          <w:color w:val="555555"/>
          <w:sz w:val="22"/>
          <w:szCs w:val="22"/>
        </w:rPr>
        <w:t xml:space="preserve">“We had the answers all along. We just didn’t have the eyes to see them.”</w:t>
      </w:r>
    </w:p>
    <w:p>
      <w:pPr>
        <w:spacing w:before="200"/>
        <w:jc w:val="center"/>
      </w:pPr>
      <w:r>
        <w:rPr>
          <w:color w:val="888888"/>
          <w:sz w:val="20"/>
          <w:szCs w:val="20"/>
        </w:rPr>
        <w:t xml:space="preserve">— H.W. Mahaffey, February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Georgia" w:cs="Georgia" w:eastAsia="Georgia" w:hAnsi="Georgia"/>
      <w:b/>
      <w:bCs/>
      <w:color w:val="1a1a2e"/>
      <w:sz w:val="36"/>
      <w:szCs w:val="36"/>
    </w:rPr>
  </w:style>
  <w:style w:type="paragraph" w:styleId="Heading2">
    <w:name w:val="Heading 2"/>
    <w:basedOn w:val="Normal"/>
    <w:next w:val="Normal"/>
    <w:qFormat/>
    <w:pPr>
      <w:spacing w:before="280" w:after="160"/>
      <w:outlineLvl w:val="1"/>
    </w:pPr>
    <w:rPr>
      <w:rFonts w:ascii="Georgia" w:cs="Georgia" w:eastAsia="Georgia" w:hAnsi="Georgia"/>
      <w:b/>
      <w:bCs/>
      <w:color w:val="2d3436"/>
      <w:sz w:val="28"/>
      <w:szCs w:val="28"/>
    </w:rPr>
  </w:style>
  <w:style w:type="paragraph" w:styleId="Heading3">
    <w:name w:val="Heading 3"/>
    <w:basedOn w:val="Normal"/>
    <w:next w:val="Normal"/>
    <w:qFormat/>
    <w:pPr>
      <w:spacing w:before="200" w:after="120"/>
      <w:outlineLvl w:val="2"/>
    </w:pPr>
    <w:rPr>
      <w:rFonts w:ascii="Georgia" w:cs="Georgia" w:eastAsia="Georgia" w:hAnsi="Georgia"/>
      <w:b/>
      <w:bCs/>
      <w:color w:val="2d343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2026-02-13T13:12:00.797Z</dcterms:created>
  <dcterms:modified xsi:type="dcterms:W3CDTF">2026-02-13T13:12:00.798Z</dcterms:modified>
</cp:coreProperties>
</file>

<file path=docProps/custom.xml><?xml version="1.0" encoding="utf-8"?>
<Properties xmlns="http://schemas.openxmlformats.org/officeDocument/2006/custom-properties" xmlns:vt="http://schemas.openxmlformats.org/officeDocument/2006/docPropsVTypes"/>
</file>