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0F2641"/>
          <w:sz w:val="54"/>
        </w:rPr>
        <w:t>CUSTOMER CHURN</w:t>
        <w:br/>
        <w:t>&amp; SUBSCRIPTION ANALYTICS</w:t>
      </w:r>
    </w:p>
    <w:p>
      <w:pPr>
        <w:jc w:val="center"/>
      </w:pPr>
      <w:r>
        <w:rPr>
          <w:color w:val="0F5384"/>
          <w:sz w:val="24"/>
        </w:rPr>
        <w:t>Project Report | Data Analysis, Business Questions &amp; Findings</w:t>
      </w:r>
    </w:p>
    <w:p/>
    <w:p>
      <w:pPr>
        <w:jc w:val="center"/>
      </w:pPr>
      <w:r>
        <w:drawing>
          <wp:inline xmlns:a="http://schemas.openxmlformats.org/drawingml/2006/main" xmlns:pic="http://schemas.openxmlformats.org/drawingml/2006/picture">
            <wp:extent cx="6217920" cy="3966697"/>
            <wp:docPr id="1" name="Picture 1"/>
            <wp:cNvGraphicFramePr>
              <a:graphicFrameLocks noChangeAspect="1"/>
            </wp:cNvGraphicFramePr>
            <a:graphic>
              <a:graphicData uri="http://schemas.openxmlformats.org/drawingml/2006/picture">
                <pic:pic>
                  <pic:nvPicPr>
                    <pic:cNvPr id="0" name="Screenshot 2026-10-23 024146.png"/>
                    <pic:cNvPicPr/>
                  </pic:nvPicPr>
                  <pic:blipFill>
                    <a:blip r:embed="rId9"/>
                    <a:stretch>
                      <a:fillRect/>
                    </a:stretch>
                  </pic:blipFill>
                  <pic:spPr>
                    <a:xfrm>
                      <a:off x="0" y="0"/>
                      <a:ext cx="6217920" cy="3966697"/>
                    </a:xfrm>
                    <a:prstGeom prst="rect"/>
                  </pic:spPr>
                </pic:pic>
              </a:graphicData>
            </a:graphic>
          </wp:inline>
        </w:drawing>
      </w:r>
    </w:p>
    <w:p>
      <w:pPr>
        <w:jc w:val="center"/>
      </w:pPr>
      <w:r>
        <w:rPr>
          <w:i/>
          <w:sz w:val="18"/>
        </w:rPr>
        <w:t>Prepared from the provided dashboard screenshot, Jupyter notebook, and exported customer dataset</w:t>
      </w:r>
    </w:p>
    <w:p>
      <w:r>
        <w:br w:type="page"/>
      </w:r>
    </w:p>
    <w:p>
      <w:pPr>
        <w:pStyle w:val="Heading1"/>
      </w:pPr>
      <w:r>
        <w:t>1. Executive Summary</w:t>
      </w:r>
    </w:p>
    <w:p>
      <w:r>
        <w:t>This project examines customer churn and subscription patterns in the supplied dataset. The exported CSV contains 21 customer records, of which 6 are marked as churned and 15 are marked as not churned. The observed churn rate is 28.6%. Average customer lifetime value (CLTV) is 823.52, while average monthly charges are 18.85.</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653"/>
          </w:tcPr>
          <w:p>
            <w:pPr>
              <w:spacing w:after="20"/>
            </w:pPr>
            <w:r/>
            <w:r>
              <w:rPr>
                <w:rFonts w:ascii="Aptos" w:hAnsi="Aptos"/>
                <w:b/>
                <w:color w:val="FFFFFF"/>
                <w:sz w:val="17"/>
              </w:rPr>
              <w:t>Metric</w:t>
            </w:r>
          </w:p>
        </w:tc>
        <w:tc>
          <w:tcPr>
            <w:tcW w:type="dxa" w:w="3360"/>
            <w:vAlign w:val="center"/>
            <w:shd w:fill="123653"/>
          </w:tcPr>
          <w:p>
            <w:pPr>
              <w:spacing w:after="20"/>
            </w:pPr>
            <w:r/>
            <w:r>
              <w:rPr>
                <w:rFonts w:ascii="Aptos" w:hAnsi="Aptos"/>
                <w:b/>
                <w:color w:val="FFFFFF"/>
                <w:sz w:val="17"/>
              </w:rPr>
              <w:t>Result</w:t>
            </w:r>
          </w:p>
        </w:tc>
        <w:tc>
          <w:tcPr>
            <w:tcW w:type="dxa" w:w="3360"/>
            <w:vAlign w:val="center"/>
            <w:shd w:fill="123653"/>
          </w:tcPr>
          <w:p>
            <w:pPr>
              <w:spacing w:after="20"/>
            </w:pPr>
            <w:r/>
            <w:r>
              <w:rPr>
                <w:rFonts w:ascii="Aptos" w:hAnsi="Aptos"/>
                <w:b/>
                <w:color w:val="FFFFFF"/>
                <w:sz w:val="17"/>
              </w:rPr>
              <w:t>How to read it</w:t>
            </w:r>
          </w:p>
        </w:tc>
      </w:tr>
      <w:tr>
        <w:tc>
          <w:tcPr>
            <w:tcW w:type="dxa" w:w="3360"/>
            <w:vAlign w:val="center"/>
          </w:tcPr>
          <w:p>
            <w:pPr>
              <w:spacing w:after="20"/>
            </w:pPr>
            <w:r/>
            <w:r>
              <w:rPr>
                <w:rFonts w:ascii="Aptos" w:hAnsi="Aptos"/>
                <w:b w:val="0"/>
                <w:sz w:val="16"/>
              </w:rPr>
              <w:t>Total customers</w:t>
            </w:r>
          </w:p>
        </w:tc>
        <w:tc>
          <w:tcPr>
            <w:tcW w:type="dxa" w:w="3360"/>
            <w:vAlign w:val="center"/>
          </w:tcPr>
          <w:p>
            <w:pPr>
              <w:spacing w:after="20"/>
            </w:pPr>
            <w:r/>
            <w:r>
              <w:rPr>
                <w:rFonts w:ascii="Aptos" w:hAnsi="Aptos"/>
                <w:b w:val="0"/>
                <w:sz w:val="16"/>
              </w:rPr>
              <w:t>21</w:t>
            </w:r>
          </w:p>
        </w:tc>
        <w:tc>
          <w:tcPr>
            <w:tcW w:type="dxa" w:w="3360"/>
            <w:vAlign w:val="center"/>
          </w:tcPr>
          <w:p>
            <w:pPr>
              <w:spacing w:after="20"/>
            </w:pPr>
            <w:r/>
            <w:r>
              <w:rPr>
                <w:rFonts w:ascii="Aptos" w:hAnsi="Aptos"/>
                <w:b w:val="0"/>
                <w:sz w:val="16"/>
              </w:rPr>
              <w:t>Number of customer rows in the exported dataset.</w:t>
            </w:r>
          </w:p>
        </w:tc>
      </w:tr>
      <w:tr>
        <w:tc>
          <w:tcPr>
            <w:tcW w:type="dxa" w:w="3360"/>
            <w:vAlign w:val="center"/>
            <w:shd w:fill="EEF5F9"/>
          </w:tcPr>
          <w:p>
            <w:pPr>
              <w:spacing w:after="20"/>
            </w:pPr>
            <w:r/>
            <w:r>
              <w:rPr>
                <w:rFonts w:ascii="Aptos" w:hAnsi="Aptos"/>
                <w:b w:val="0"/>
                <w:sz w:val="16"/>
              </w:rPr>
              <w:t>Churned customers</w:t>
            </w:r>
          </w:p>
        </w:tc>
        <w:tc>
          <w:tcPr>
            <w:tcW w:type="dxa" w:w="3360"/>
            <w:vAlign w:val="center"/>
            <w:shd w:fill="EEF5F9"/>
          </w:tcPr>
          <w:p>
            <w:pPr>
              <w:spacing w:after="20"/>
            </w:pPr>
            <w:r/>
            <w:r>
              <w:rPr>
                <w:rFonts w:ascii="Aptos" w:hAnsi="Aptos"/>
                <w:b w:val="0"/>
                <w:sz w:val="16"/>
              </w:rPr>
              <w:t>6</w:t>
            </w:r>
          </w:p>
        </w:tc>
        <w:tc>
          <w:tcPr>
            <w:tcW w:type="dxa" w:w="3360"/>
            <w:vAlign w:val="center"/>
            <w:shd w:fill="EEF5F9"/>
          </w:tcPr>
          <w:p>
            <w:pPr>
              <w:spacing w:after="20"/>
            </w:pPr>
            <w:r/>
            <w:r>
              <w:rPr>
                <w:rFonts w:ascii="Aptos" w:hAnsi="Aptos"/>
                <w:b w:val="0"/>
                <w:sz w:val="16"/>
              </w:rPr>
              <w:t>Rows where churn_flag = 1.</w:t>
            </w:r>
          </w:p>
        </w:tc>
      </w:tr>
      <w:tr>
        <w:tc>
          <w:tcPr>
            <w:tcW w:type="dxa" w:w="3360"/>
            <w:vAlign w:val="center"/>
          </w:tcPr>
          <w:p>
            <w:pPr>
              <w:spacing w:after="20"/>
            </w:pPr>
            <w:r/>
            <w:r>
              <w:rPr>
                <w:rFonts w:ascii="Aptos" w:hAnsi="Aptos"/>
                <w:b w:val="0"/>
                <w:sz w:val="16"/>
              </w:rPr>
              <w:t>Customers not marked churned</w:t>
            </w:r>
          </w:p>
        </w:tc>
        <w:tc>
          <w:tcPr>
            <w:tcW w:type="dxa" w:w="3360"/>
            <w:vAlign w:val="center"/>
          </w:tcPr>
          <w:p>
            <w:pPr>
              <w:spacing w:after="20"/>
            </w:pPr>
            <w:r/>
            <w:r>
              <w:rPr>
                <w:rFonts w:ascii="Aptos" w:hAnsi="Aptos"/>
                <w:b w:val="0"/>
                <w:sz w:val="16"/>
              </w:rPr>
              <w:t>15</w:t>
            </w:r>
          </w:p>
        </w:tc>
        <w:tc>
          <w:tcPr>
            <w:tcW w:type="dxa" w:w="3360"/>
            <w:vAlign w:val="center"/>
          </w:tcPr>
          <w:p>
            <w:pPr>
              <w:spacing w:after="20"/>
            </w:pPr>
            <w:r/>
            <w:r>
              <w:rPr>
                <w:rFonts w:ascii="Aptos" w:hAnsi="Aptos"/>
                <w:b w:val="0"/>
                <w:sz w:val="16"/>
              </w:rPr>
              <w:t>Rows where churn_flag = 0.</w:t>
            </w:r>
          </w:p>
        </w:tc>
      </w:tr>
      <w:tr>
        <w:tc>
          <w:tcPr>
            <w:tcW w:type="dxa" w:w="3360"/>
            <w:vAlign w:val="center"/>
            <w:shd w:fill="EEF5F9"/>
          </w:tcPr>
          <w:p>
            <w:pPr>
              <w:spacing w:after="20"/>
            </w:pPr>
            <w:r/>
            <w:r>
              <w:rPr>
                <w:rFonts w:ascii="Aptos" w:hAnsi="Aptos"/>
                <w:b w:val="0"/>
                <w:sz w:val="16"/>
              </w:rPr>
              <w:t>Overall churn rate</w:t>
            </w:r>
          </w:p>
        </w:tc>
        <w:tc>
          <w:tcPr>
            <w:tcW w:type="dxa" w:w="3360"/>
            <w:vAlign w:val="center"/>
            <w:shd w:fill="EEF5F9"/>
          </w:tcPr>
          <w:p>
            <w:pPr>
              <w:spacing w:after="20"/>
            </w:pPr>
            <w:r/>
            <w:r>
              <w:rPr>
                <w:rFonts w:ascii="Aptos" w:hAnsi="Aptos"/>
                <w:b w:val="0"/>
                <w:sz w:val="16"/>
              </w:rPr>
              <w:t>28.6%</w:t>
            </w:r>
          </w:p>
        </w:tc>
        <w:tc>
          <w:tcPr>
            <w:tcW w:type="dxa" w:w="3360"/>
            <w:vAlign w:val="center"/>
            <w:shd w:fill="EEF5F9"/>
          </w:tcPr>
          <w:p>
            <w:pPr>
              <w:spacing w:after="20"/>
            </w:pPr>
            <w:r/>
            <w:r>
              <w:rPr>
                <w:rFonts w:ascii="Aptos" w:hAnsi="Aptos"/>
                <w:b w:val="0"/>
                <w:sz w:val="16"/>
              </w:rPr>
              <w:t>Churned customers divided by all customer rows.</w:t>
            </w:r>
          </w:p>
        </w:tc>
      </w:tr>
      <w:tr>
        <w:tc>
          <w:tcPr>
            <w:tcW w:type="dxa" w:w="3360"/>
            <w:vAlign w:val="center"/>
          </w:tcPr>
          <w:p>
            <w:pPr>
              <w:spacing w:after="20"/>
            </w:pPr>
            <w:r/>
            <w:r>
              <w:rPr>
                <w:rFonts w:ascii="Aptos" w:hAnsi="Aptos"/>
                <w:b w:val="0"/>
                <w:sz w:val="16"/>
              </w:rPr>
              <w:t>Average CLTV</w:t>
            </w:r>
          </w:p>
        </w:tc>
        <w:tc>
          <w:tcPr>
            <w:tcW w:type="dxa" w:w="3360"/>
            <w:vAlign w:val="center"/>
          </w:tcPr>
          <w:p>
            <w:pPr>
              <w:spacing w:after="20"/>
            </w:pPr>
            <w:r/>
            <w:r>
              <w:rPr>
                <w:rFonts w:ascii="Aptos" w:hAnsi="Aptos"/>
                <w:b w:val="0"/>
                <w:sz w:val="16"/>
              </w:rPr>
              <w:t>823.52</w:t>
            </w:r>
          </w:p>
        </w:tc>
        <w:tc>
          <w:tcPr>
            <w:tcW w:type="dxa" w:w="3360"/>
            <w:vAlign w:val="center"/>
          </w:tcPr>
          <w:p>
            <w:pPr>
              <w:spacing w:after="20"/>
            </w:pPr>
            <w:r/>
            <w:r>
              <w:rPr>
                <w:rFonts w:ascii="Aptos" w:hAnsi="Aptos"/>
                <w:b w:val="0"/>
                <w:sz w:val="16"/>
              </w:rPr>
              <w:t>Mean of the cltv field; currency is not specified in the file.</w:t>
            </w:r>
          </w:p>
        </w:tc>
      </w:tr>
      <w:tr>
        <w:tc>
          <w:tcPr>
            <w:tcW w:type="dxa" w:w="3360"/>
            <w:vAlign w:val="center"/>
            <w:shd w:fill="EEF5F9"/>
          </w:tcPr>
          <w:p>
            <w:pPr>
              <w:spacing w:after="20"/>
            </w:pPr>
            <w:r/>
            <w:r>
              <w:rPr>
                <w:rFonts w:ascii="Aptos" w:hAnsi="Aptos"/>
                <w:b w:val="0"/>
                <w:sz w:val="16"/>
              </w:rPr>
              <w:t>Average monthly charges</w:t>
            </w:r>
          </w:p>
        </w:tc>
        <w:tc>
          <w:tcPr>
            <w:tcW w:type="dxa" w:w="3360"/>
            <w:vAlign w:val="center"/>
            <w:shd w:fill="EEF5F9"/>
          </w:tcPr>
          <w:p>
            <w:pPr>
              <w:spacing w:after="20"/>
            </w:pPr>
            <w:r/>
            <w:r>
              <w:rPr>
                <w:rFonts w:ascii="Aptos" w:hAnsi="Aptos"/>
                <w:b w:val="0"/>
                <w:sz w:val="16"/>
              </w:rPr>
              <w:t>18.85</w:t>
            </w:r>
          </w:p>
        </w:tc>
        <w:tc>
          <w:tcPr>
            <w:tcW w:type="dxa" w:w="3360"/>
            <w:vAlign w:val="center"/>
            <w:shd w:fill="EEF5F9"/>
          </w:tcPr>
          <w:p>
            <w:pPr>
              <w:spacing w:after="20"/>
            </w:pPr>
            <w:r/>
            <w:r>
              <w:rPr>
                <w:rFonts w:ascii="Aptos" w:hAnsi="Aptos"/>
                <w:b w:val="0"/>
                <w:sz w:val="16"/>
              </w:rPr>
              <w:t>Mean of monthly_charges; currency is not specified.</w:t>
            </w:r>
          </w:p>
        </w:tc>
      </w:tr>
      <w:tr>
        <w:tc>
          <w:tcPr>
            <w:tcW w:type="dxa" w:w="3360"/>
            <w:vAlign w:val="center"/>
          </w:tcPr>
          <w:p>
            <w:pPr>
              <w:spacing w:after="20"/>
            </w:pPr>
            <w:r/>
            <w:r>
              <w:rPr>
                <w:rFonts w:ascii="Aptos" w:hAnsi="Aptos"/>
                <w:b w:val="0"/>
                <w:sz w:val="16"/>
              </w:rPr>
              <w:t>Average churn score</w:t>
            </w:r>
          </w:p>
        </w:tc>
        <w:tc>
          <w:tcPr>
            <w:tcW w:type="dxa" w:w="3360"/>
            <w:vAlign w:val="center"/>
          </w:tcPr>
          <w:p>
            <w:pPr>
              <w:spacing w:after="20"/>
            </w:pPr>
            <w:r/>
            <w:r>
              <w:rPr>
                <w:rFonts w:ascii="Aptos" w:hAnsi="Aptos"/>
                <w:b w:val="0"/>
                <w:sz w:val="16"/>
              </w:rPr>
              <w:t>43.29</w:t>
            </w:r>
          </w:p>
        </w:tc>
        <w:tc>
          <w:tcPr>
            <w:tcW w:type="dxa" w:w="3360"/>
            <w:vAlign w:val="center"/>
          </w:tcPr>
          <w:p>
            <w:pPr>
              <w:spacing w:after="20"/>
            </w:pPr>
            <w:r/>
            <w:r>
              <w:rPr>
                <w:rFonts w:ascii="Aptos" w:hAnsi="Aptos"/>
                <w:b w:val="0"/>
                <w:sz w:val="16"/>
              </w:rPr>
              <w:t>Mean of the churn_score field.</w:t>
            </w:r>
          </w:p>
        </w:tc>
      </w:tr>
      <w:tr>
        <w:tc>
          <w:tcPr>
            <w:tcW w:type="dxa" w:w="3360"/>
            <w:vAlign w:val="center"/>
            <w:shd w:fill="EEF5F9"/>
          </w:tcPr>
          <w:p>
            <w:pPr>
              <w:spacing w:after="20"/>
            </w:pPr>
            <w:r/>
            <w:r>
              <w:rPr>
                <w:rFonts w:ascii="Aptos" w:hAnsi="Aptos"/>
                <w:b w:val="0"/>
                <w:sz w:val="16"/>
              </w:rPr>
              <w:t>CSAT records available</w:t>
            </w:r>
          </w:p>
        </w:tc>
        <w:tc>
          <w:tcPr>
            <w:tcW w:type="dxa" w:w="3360"/>
            <w:vAlign w:val="center"/>
            <w:shd w:fill="EEF5F9"/>
          </w:tcPr>
          <w:p>
            <w:pPr>
              <w:spacing w:after="20"/>
            </w:pPr>
            <w:r/>
            <w:r>
              <w:rPr>
                <w:rFonts w:ascii="Aptos" w:hAnsi="Aptos"/>
                <w:b w:val="0"/>
                <w:sz w:val="16"/>
              </w:rPr>
              <w:t>7 of 21</w:t>
            </w:r>
          </w:p>
        </w:tc>
        <w:tc>
          <w:tcPr>
            <w:tcW w:type="dxa" w:w="3360"/>
            <w:vAlign w:val="center"/>
            <w:shd w:fill="EEF5F9"/>
          </w:tcPr>
          <w:p>
            <w:pPr>
              <w:spacing w:after="20"/>
            </w:pPr>
            <w:r/>
            <w:r>
              <w:rPr>
                <w:rFonts w:ascii="Aptos" w:hAnsi="Aptos"/>
                <w:b w:val="0"/>
                <w:sz w:val="16"/>
              </w:rPr>
              <w:t>CSAT is populated for only a subset of records; average of available values is 42.14.</w:t>
            </w:r>
          </w:p>
        </w:tc>
      </w:tr>
    </w:tbl>
    <w:p>
      <w:pPr>
        <w:spacing w:after="20"/>
      </w:pPr>
    </w:p>
    <w:p>
      <w:r>
        <w:t>Headline finding: Basic plans have the highest observed churn rate among plan types, while the referral subscription group has a high churn rate in this small sample. These are descriptive findings, not proof that plan or acquisition source causes churn.</w:t>
      </w:r>
    </w:p>
    <w:p>
      <w:pPr>
        <w:pStyle w:val="Heading1"/>
      </w:pPr>
      <w:r>
        <w:t>2. Project Objectives</w:t>
      </w:r>
    </w:p>
    <w:p>
      <w:pPr>
        <w:pStyle w:val="ListBullet"/>
        <w:spacing w:after="40"/>
      </w:pPr>
      <w:r>
        <w:t>Measure overall customer churn and the size of the retained customer group.</w:t>
      </w:r>
    </w:p>
    <w:p>
      <w:pPr>
        <w:pStyle w:val="ListBullet"/>
        <w:spacing w:after="40"/>
      </w:pPr>
      <w:r>
        <w:t>Compare churn across plan type, subscription type, gender, and state.</w:t>
      </w:r>
    </w:p>
    <w:p>
      <w:pPr>
        <w:pStyle w:val="ListBullet"/>
        <w:spacing w:after="40"/>
      </w:pPr>
      <w:r>
        <w:t>Summarize recorded cancellation reasons.</w:t>
      </w:r>
    </w:p>
    <w:p>
      <w:pPr>
        <w:pStyle w:val="ListBullet"/>
        <w:spacing w:after="40"/>
      </w:pPr>
      <w:r>
        <w:t>Review customer value and customer satisfaction fields.</w:t>
      </w:r>
    </w:p>
    <w:p>
      <w:pPr>
        <w:pStyle w:val="ListBullet"/>
        <w:spacing w:after="40"/>
      </w:pPr>
      <w:r>
        <w:t>Turn the analysis into practical, testable retention recommendations.</w:t>
      </w:r>
    </w:p>
    <w:p>
      <w:pPr>
        <w:pStyle w:val="Heading1"/>
      </w:pPr>
      <w:r>
        <w:t>3. Dataset &amp; Method</w:t>
      </w:r>
    </w:p>
    <w:p>
      <w:r>
        <w:t>The provided CSV has 21 rows and 21 columns. Fields include customer identifiers, subscription and renewal dates, plan and contract types, cancellation details, monthly charges, CLTV, churn score/flag, country/state, gender, date of birth, complaint details, and CSAT.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7"/>
              </w:rPr>
              <w:t>Analysis item</w:t>
            </w:r>
          </w:p>
        </w:tc>
        <w:tc>
          <w:tcPr>
            <w:tcW w:type="dxa" w:w="5040"/>
            <w:vAlign w:val="center"/>
            <w:shd w:fill="123653"/>
          </w:tcPr>
          <w:p>
            <w:pPr>
              <w:spacing w:after="20"/>
            </w:pPr>
            <w:r/>
            <w:r>
              <w:rPr>
                <w:rFonts w:ascii="Aptos" w:hAnsi="Aptos"/>
                <w:b/>
                <w:color w:val="FFFFFF"/>
                <w:sz w:val="17"/>
              </w:rPr>
              <w:t>Approach / definition</w:t>
            </w:r>
          </w:p>
        </w:tc>
      </w:tr>
      <w:tr>
        <w:tc>
          <w:tcPr>
            <w:tcW w:type="dxa" w:w="5040"/>
            <w:vAlign w:val="center"/>
          </w:tcPr>
          <w:p>
            <w:pPr>
              <w:spacing w:after="20"/>
            </w:pPr>
            <w:r/>
            <w:r>
              <w:rPr>
                <w:rFonts w:ascii="Aptos" w:hAnsi="Aptos"/>
                <w:b w:val="0"/>
                <w:sz w:val="16"/>
              </w:rPr>
              <w:t>Churn flag</w:t>
            </w:r>
          </w:p>
        </w:tc>
        <w:tc>
          <w:tcPr>
            <w:tcW w:type="dxa" w:w="5040"/>
            <w:vAlign w:val="center"/>
          </w:tcPr>
          <w:p>
            <w:pPr>
              <w:spacing w:after="20"/>
            </w:pPr>
            <w:r/>
            <w:r>
              <w:rPr>
                <w:rFonts w:ascii="Aptos" w:hAnsi="Aptos"/>
                <w:b w:val="0"/>
                <w:sz w:val="16"/>
              </w:rPr>
              <w:t>Treat churn_flag = 1 as churned and 0 as not churned.</w:t>
            </w:r>
          </w:p>
        </w:tc>
      </w:tr>
      <w:tr>
        <w:tc>
          <w:tcPr>
            <w:tcW w:type="dxa" w:w="5040"/>
            <w:vAlign w:val="center"/>
            <w:shd w:fill="EEF5F9"/>
          </w:tcPr>
          <w:p>
            <w:pPr>
              <w:spacing w:after="20"/>
            </w:pPr>
            <w:r/>
            <w:r>
              <w:rPr>
                <w:rFonts w:ascii="Aptos" w:hAnsi="Aptos"/>
                <w:b w:val="0"/>
                <w:sz w:val="16"/>
              </w:rPr>
              <w:t>Churn rate</w:t>
            </w:r>
          </w:p>
        </w:tc>
        <w:tc>
          <w:tcPr>
            <w:tcW w:type="dxa" w:w="5040"/>
            <w:vAlign w:val="center"/>
            <w:shd w:fill="EEF5F9"/>
          </w:tcPr>
          <w:p>
            <w:pPr>
              <w:spacing w:after="20"/>
            </w:pPr>
            <w:r/>
            <w:r>
              <w:rPr>
                <w:rFonts w:ascii="Aptos" w:hAnsi="Aptos"/>
                <w:b w:val="0"/>
                <w:sz w:val="16"/>
              </w:rPr>
              <w:t>Number of churned records divided by total records in the relevant group.</w:t>
            </w:r>
          </w:p>
        </w:tc>
      </w:tr>
      <w:tr>
        <w:tc>
          <w:tcPr>
            <w:tcW w:type="dxa" w:w="5040"/>
            <w:vAlign w:val="center"/>
          </w:tcPr>
          <w:p>
            <w:pPr>
              <w:spacing w:after="20"/>
            </w:pPr>
            <w:r/>
            <w:r>
              <w:rPr>
                <w:rFonts w:ascii="Aptos" w:hAnsi="Aptos"/>
                <w:b w:val="0"/>
                <w:sz w:val="16"/>
              </w:rPr>
              <w:t>Group comparisons</w:t>
            </w:r>
          </w:p>
        </w:tc>
        <w:tc>
          <w:tcPr>
            <w:tcW w:type="dxa" w:w="5040"/>
            <w:vAlign w:val="center"/>
          </w:tcPr>
          <w:p>
            <w:pPr>
              <w:spacing w:after="20"/>
            </w:pPr>
            <w:r/>
            <w:r>
              <w:rPr>
                <w:rFonts w:ascii="Aptos" w:hAnsi="Aptos"/>
                <w:b w:val="0"/>
                <w:sz w:val="16"/>
              </w:rPr>
              <w:t>Count customers and churned records within each plan, subscription source, gender, and state.</w:t>
            </w:r>
          </w:p>
        </w:tc>
      </w:tr>
      <w:tr>
        <w:tc>
          <w:tcPr>
            <w:tcW w:type="dxa" w:w="5040"/>
            <w:vAlign w:val="center"/>
            <w:shd w:fill="EEF5F9"/>
          </w:tcPr>
          <w:p>
            <w:pPr>
              <w:spacing w:after="20"/>
            </w:pPr>
            <w:r/>
            <w:r>
              <w:rPr>
                <w:rFonts w:ascii="Aptos" w:hAnsi="Aptos"/>
                <w:b w:val="0"/>
                <w:sz w:val="16"/>
              </w:rPr>
              <w:t>Cancellation reasons</w:t>
            </w:r>
          </w:p>
        </w:tc>
        <w:tc>
          <w:tcPr>
            <w:tcW w:type="dxa" w:w="5040"/>
            <w:vAlign w:val="center"/>
            <w:shd w:fill="EEF5F9"/>
          </w:tcPr>
          <w:p>
            <w:pPr>
              <w:spacing w:after="20"/>
            </w:pPr>
            <w:r/>
            <w:r>
              <w:rPr>
                <w:rFonts w:ascii="Aptos" w:hAnsi="Aptos"/>
                <w:b w:val="0"/>
                <w:sz w:val="16"/>
              </w:rPr>
              <w:t>Count non-empty cancellation_reason values only.</w:t>
            </w:r>
          </w:p>
        </w:tc>
      </w:tr>
      <w:tr>
        <w:tc>
          <w:tcPr>
            <w:tcW w:type="dxa" w:w="5040"/>
            <w:vAlign w:val="center"/>
          </w:tcPr>
          <w:p>
            <w:pPr>
              <w:spacing w:after="20"/>
            </w:pPr>
            <w:r/>
            <w:r>
              <w:rPr>
                <w:rFonts w:ascii="Aptos" w:hAnsi="Aptos"/>
                <w:b w:val="0"/>
                <w:sz w:val="16"/>
              </w:rPr>
              <w:t>Missing values</w:t>
            </w:r>
          </w:p>
        </w:tc>
        <w:tc>
          <w:tcPr>
            <w:tcW w:type="dxa" w:w="5040"/>
            <w:vAlign w:val="center"/>
          </w:tcPr>
          <w:p>
            <w:pPr>
              <w:spacing w:after="20"/>
            </w:pPr>
            <w:r/>
            <w:r>
              <w:rPr>
                <w:rFonts w:ascii="Aptos" w:hAnsi="Aptos"/>
                <w:b w:val="0"/>
                <w:sz w:val="16"/>
              </w:rPr>
              <w:t>Use available values for averages; note the field's non-null sample size.</w:t>
            </w:r>
          </w:p>
        </w:tc>
      </w:tr>
      <w:tr>
        <w:tc>
          <w:tcPr>
            <w:tcW w:type="dxa" w:w="5040"/>
            <w:vAlign w:val="center"/>
            <w:shd w:fill="EEF5F9"/>
          </w:tcPr>
          <w:p>
            <w:pPr>
              <w:spacing w:after="20"/>
            </w:pPr>
            <w:r/>
            <w:r>
              <w:rPr>
                <w:rFonts w:ascii="Aptos" w:hAnsi="Aptos"/>
                <w:b w:val="0"/>
                <w:sz w:val="16"/>
              </w:rPr>
              <w:t>Scope limitation</w:t>
            </w:r>
          </w:p>
        </w:tc>
        <w:tc>
          <w:tcPr>
            <w:tcW w:type="dxa" w:w="5040"/>
            <w:vAlign w:val="center"/>
            <w:shd w:fill="EEF5F9"/>
          </w:tcPr>
          <w:p>
            <w:pPr>
              <w:spacing w:after="20"/>
            </w:pPr>
            <w:r/>
            <w:r>
              <w:rPr>
                <w:rFonts w:ascii="Aptos" w:hAnsi="Aptos"/>
                <w:b w:val="0"/>
                <w:sz w:val="16"/>
              </w:rPr>
              <w:t>The dataset has only 21 rows, so group percentages can change substantially with one customer.</w:t>
            </w:r>
          </w:p>
        </w:tc>
      </w:tr>
    </w:tbl>
    <w:p>
      <w:pPr>
        <w:spacing w:after="20"/>
      </w:pPr>
    </w:p>
    <w:p>
      <w:r>
        <w:t>Tools evidenced in the supplied notebook include Python, pandas, NumPy, Matplotlib, Seaborn, and SQLite. The report's numerical tables are recalculated from the supplied exported CSV.</w:t>
      </w:r>
    </w:p>
    <w:p>
      <w:pPr>
        <w:pStyle w:val="Heading1"/>
      </w:pPr>
      <w:r>
        <w:t>4. Key Business Questions &amp;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Q1. What is the overall churn rate?</w:t>
            </w:r>
          </w:p>
        </w:tc>
        <w:tc>
          <w:tcPr>
            <w:tcW w:type="dxa" w:w="5040"/>
            <w:vAlign w:val="center"/>
            <w:shd w:fill="E7F3FA"/>
          </w:tcPr>
          <w:p>
            <w:pPr>
              <w:spacing w:after="20"/>
            </w:pPr>
            <w:r/>
            <w:r>
              <w:rPr>
                <w:rFonts w:ascii="Aptos" w:hAnsi="Aptos"/>
                <w:b/>
                <w:color w:val="0F5384"/>
                <w:sz w:val="18"/>
              </w:rPr>
              <w:t>28.6% (6 of 21 customers)</w:t>
            </w:r>
          </w:p>
        </w:tc>
      </w:tr>
    </w:tbl>
    <w:p>
      <w:pPr>
        <w:spacing w:after="100"/>
      </w:pPr>
      <w:r>
        <w:t>15 customers (71.4%) are not marked as churned. The result is a snapshot of this small exported dataset.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Q2. Which plan type has the highest churn rate?</w:t>
            </w:r>
          </w:p>
        </w:tc>
        <w:tc>
          <w:tcPr>
            <w:tcW w:type="dxa" w:w="5040"/>
            <w:vAlign w:val="center"/>
            <w:shd w:fill="E7F3FA"/>
          </w:tcPr>
          <w:p>
            <w:pPr>
              <w:spacing w:after="20"/>
            </w:pPr>
            <w:r/>
            <w:r>
              <w:rPr>
                <w:rFonts w:ascii="Aptos" w:hAnsi="Aptos"/>
                <w:b/>
                <w:color w:val="0F5384"/>
                <w:sz w:val="18"/>
              </w:rPr>
              <w:t>Basic: 60.0%</w:t>
            </w:r>
          </w:p>
        </w:tc>
      </w:tr>
    </w:tbl>
    <w:p>
      <w:pPr>
        <w:spacing w:after="100"/>
      </w:pPr>
      <w:r>
        <w:t>The Basic plan has the highest observed rate. Check the group sizes before making policy decisions.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23653"/>
          </w:tcPr>
          <w:p>
            <w:pPr>
              <w:spacing w:after="20"/>
            </w:pPr>
            <w:r/>
            <w:r>
              <w:rPr>
                <w:rFonts w:ascii="Aptos" w:hAnsi="Aptos"/>
                <w:b/>
                <w:color w:val="FFFFFF"/>
                <w:sz w:val="17"/>
              </w:rPr>
              <w:t>Plan type</w:t>
            </w:r>
          </w:p>
        </w:tc>
        <w:tc>
          <w:tcPr>
            <w:tcW w:type="dxa" w:w="2016"/>
            <w:vAlign w:val="center"/>
            <w:shd w:fill="123653"/>
          </w:tcPr>
          <w:p>
            <w:pPr>
              <w:spacing w:after="20"/>
            </w:pPr>
            <w:r/>
            <w:r>
              <w:rPr>
                <w:rFonts w:ascii="Aptos" w:hAnsi="Aptos"/>
                <w:b/>
                <w:color w:val="FFFFFF"/>
                <w:sz w:val="17"/>
              </w:rPr>
              <w:t>Customers</w:t>
            </w:r>
          </w:p>
        </w:tc>
        <w:tc>
          <w:tcPr>
            <w:tcW w:type="dxa" w:w="2016"/>
            <w:vAlign w:val="center"/>
            <w:shd w:fill="123653"/>
          </w:tcPr>
          <w:p>
            <w:pPr>
              <w:spacing w:after="20"/>
            </w:pPr>
            <w:r/>
            <w:r>
              <w:rPr>
                <w:rFonts w:ascii="Aptos" w:hAnsi="Aptos"/>
                <w:b/>
                <w:color w:val="FFFFFF"/>
                <w:sz w:val="17"/>
              </w:rPr>
              <w:t>Churned</w:t>
            </w:r>
          </w:p>
        </w:tc>
        <w:tc>
          <w:tcPr>
            <w:tcW w:type="dxa" w:w="2016"/>
            <w:vAlign w:val="center"/>
            <w:shd w:fill="123653"/>
          </w:tcPr>
          <w:p>
            <w:pPr>
              <w:spacing w:after="20"/>
            </w:pPr>
            <w:r/>
            <w:r>
              <w:rPr>
                <w:rFonts w:ascii="Aptos" w:hAnsi="Aptos"/>
                <w:b/>
                <w:color w:val="FFFFFF"/>
                <w:sz w:val="17"/>
              </w:rPr>
              <w:t>Churn rate</w:t>
            </w:r>
          </w:p>
        </w:tc>
        <w:tc>
          <w:tcPr>
            <w:tcW w:type="dxa" w:w="2016"/>
            <w:vAlign w:val="center"/>
            <w:shd w:fill="123653"/>
          </w:tcPr>
          <w:p>
            <w:pPr>
              <w:spacing w:after="20"/>
            </w:pPr>
            <w:r/>
            <w:r>
              <w:rPr>
                <w:rFonts w:ascii="Aptos" w:hAnsi="Aptos"/>
                <w:b/>
                <w:color w:val="FFFFFF"/>
                <w:sz w:val="17"/>
              </w:rPr>
              <w:t>Average CLTV</w:t>
            </w:r>
          </w:p>
        </w:tc>
      </w:tr>
      <w:tr>
        <w:tc>
          <w:tcPr>
            <w:tcW w:type="dxa" w:w="2016"/>
            <w:vAlign w:val="center"/>
          </w:tcPr>
          <w:p>
            <w:pPr>
              <w:spacing w:after="20"/>
            </w:pPr>
            <w:r/>
            <w:r>
              <w:rPr>
                <w:rFonts w:ascii="Aptos" w:hAnsi="Aptos"/>
                <w:b w:val="0"/>
                <w:sz w:val="16"/>
              </w:rPr>
              <w:t>Basic</w:t>
            </w:r>
          </w:p>
        </w:tc>
        <w:tc>
          <w:tcPr>
            <w:tcW w:type="dxa" w:w="2016"/>
            <w:vAlign w:val="center"/>
          </w:tcPr>
          <w:p>
            <w:pPr>
              <w:spacing w:after="20"/>
            </w:pPr>
            <w:r/>
            <w:r>
              <w:rPr>
                <w:rFonts w:ascii="Aptos" w:hAnsi="Aptos"/>
                <w:b w:val="0"/>
                <w:sz w:val="16"/>
              </w:rPr>
              <w:t>5</w:t>
            </w:r>
          </w:p>
        </w:tc>
        <w:tc>
          <w:tcPr>
            <w:tcW w:type="dxa" w:w="2016"/>
            <w:vAlign w:val="center"/>
          </w:tcPr>
          <w:p>
            <w:pPr>
              <w:spacing w:after="20"/>
            </w:pPr>
            <w:r/>
            <w:r>
              <w:rPr>
                <w:rFonts w:ascii="Aptos" w:hAnsi="Aptos"/>
                <w:b w:val="0"/>
                <w:sz w:val="16"/>
              </w:rPr>
              <w:t>3</w:t>
            </w:r>
          </w:p>
        </w:tc>
        <w:tc>
          <w:tcPr>
            <w:tcW w:type="dxa" w:w="2016"/>
            <w:vAlign w:val="center"/>
          </w:tcPr>
          <w:p>
            <w:pPr>
              <w:spacing w:after="20"/>
            </w:pPr>
            <w:r/>
            <w:r>
              <w:rPr>
                <w:rFonts w:ascii="Aptos" w:hAnsi="Aptos"/>
                <w:b w:val="0"/>
                <w:sz w:val="16"/>
              </w:rPr>
              <w:t>60.0%</w:t>
            </w:r>
          </w:p>
        </w:tc>
        <w:tc>
          <w:tcPr>
            <w:tcW w:type="dxa" w:w="2016"/>
            <w:vAlign w:val="center"/>
          </w:tcPr>
          <w:p>
            <w:pPr>
              <w:spacing w:after="20"/>
            </w:pPr>
            <w:r/>
            <w:r>
              <w:rPr>
                <w:rFonts w:ascii="Aptos" w:hAnsi="Aptos"/>
                <w:b w:val="0"/>
                <w:sz w:val="16"/>
              </w:rPr>
              <w:t>195.40</w:t>
            </w:r>
          </w:p>
        </w:tc>
      </w:tr>
      <w:tr>
        <w:tc>
          <w:tcPr>
            <w:tcW w:type="dxa" w:w="2016"/>
            <w:vAlign w:val="center"/>
            <w:shd w:fill="EEF5F9"/>
          </w:tcPr>
          <w:p>
            <w:pPr>
              <w:spacing w:after="20"/>
            </w:pPr>
            <w:r/>
            <w:r>
              <w:rPr>
                <w:rFonts w:ascii="Aptos" w:hAnsi="Aptos"/>
                <w:b w:val="0"/>
                <w:sz w:val="16"/>
              </w:rPr>
              <w:t>Standard</w:t>
            </w:r>
          </w:p>
        </w:tc>
        <w:tc>
          <w:tcPr>
            <w:tcW w:type="dxa" w:w="2016"/>
            <w:vAlign w:val="center"/>
            <w:shd w:fill="EEF5F9"/>
          </w:tcPr>
          <w:p>
            <w:pPr>
              <w:spacing w:after="20"/>
            </w:pPr>
            <w:r/>
            <w:r>
              <w:rPr>
                <w:rFonts w:ascii="Aptos" w:hAnsi="Aptos"/>
                <w:b w:val="0"/>
                <w:sz w:val="16"/>
              </w:rPr>
              <w:t>9</w:t>
            </w:r>
          </w:p>
        </w:tc>
        <w:tc>
          <w:tcPr>
            <w:tcW w:type="dxa" w:w="2016"/>
            <w:vAlign w:val="center"/>
            <w:shd w:fill="EEF5F9"/>
          </w:tcPr>
          <w:p>
            <w:pPr>
              <w:spacing w:after="20"/>
            </w:pPr>
            <w:r/>
            <w:r>
              <w:rPr>
                <w:rFonts w:ascii="Aptos" w:hAnsi="Aptos"/>
                <w:b w:val="0"/>
                <w:sz w:val="16"/>
              </w:rPr>
              <w:t>2</w:t>
            </w:r>
          </w:p>
        </w:tc>
        <w:tc>
          <w:tcPr>
            <w:tcW w:type="dxa" w:w="2016"/>
            <w:vAlign w:val="center"/>
            <w:shd w:fill="EEF5F9"/>
          </w:tcPr>
          <w:p>
            <w:pPr>
              <w:spacing w:after="20"/>
            </w:pPr>
            <w:r/>
            <w:r>
              <w:rPr>
                <w:rFonts w:ascii="Aptos" w:hAnsi="Aptos"/>
                <w:b w:val="0"/>
                <w:sz w:val="16"/>
              </w:rPr>
              <w:t>22.2%</w:t>
            </w:r>
          </w:p>
        </w:tc>
        <w:tc>
          <w:tcPr>
            <w:tcW w:type="dxa" w:w="2016"/>
            <w:vAlign w:val="center"/>
            <w:shd w:fill="EEF5F9"/>
          </w:tcPr>
          <w:p>
            <w:pPr>
              <w:spacing w:after="20"/>
            </w:pPr>
            <w:r/>
            <w:r>
              <w:rPr>
                <w:rFonts w:ascii="Aptos" w:hAnsi="Aptos"/>
                <w:b w:val="0"/>
                <w:sz w:val="16"/>
              </w:rPr>
              <w:t>589.11</w:t>
            </w:r>
          </w:p>
        </w:tc>
      </w:tr>
      <w:tr>
        <w:tc>
          <w:tcPr>
            <w:tcW w:type="dxa" w:w="2016"/>
            <w:vAlign w:val="center"/>
          </w:tcPr>
          <w:p>
            <w:pPr>
              <w:spacing w:after="20"/>
            </w:pPr>
            <w:r/>
            <w:r>
              <w:rPr>
                <w:rFonts w:ascii="Aptos" w:hAnsi="Aptos"/>
                <w:b w:val="0"/>
                <w:sz w:val="16"/>
              </w:rPr>
              <w:t>Premium</w:t>
            </w:r>
          </w:p>
        </w:tc>
        <w:tc>
          <w:tcPr>
            <w:tcW w:type="dxa" w:w="2016"/>
            <w:vAlign w:val="center"/>
          </w:tcPr>
          <w:p>
            <w:pPr>
              <w:spacing w:after="20"/>
            </w:pPr>
            <w:r/>
            <w:r>
              <w:rPr>
                <w:rFonts w:ascii="Aptos" w:hAnsi="Aptos"/>
                <w:b w:val="0"/>
                <w:sz w:val="16"/>
              </w:rPr>
              <w:t>7</w:t>
            </w:r>
          </w:p>
        </w:tc>
        <w:tc>
          <w:tcPr>
            <w:tcW w:type="dxa" w:w="2016"/>
            <w:vAlign w:val="center"/>
          </w:tcPr>
          <w:p>
            <w:pPr>
              <w:spacing w:after="20"/>
            </w:pPr>
            <w:r/>
            <w:r>
              <w:rPr>
                <w:rFonts w:ascii="Aptos" w:hAnsi="Aptos"/>
                <w:b w:val="0"/>
                <w:sz w:val="16"/>
              </w:rPr>
              <w:t>1</w:t>
            </w:r>
          </w:p>
        </w:tc>
        <w:tc>
          <w:tcPr>
            <w:tcW w:type="dxa" w:w="2016"/>
            <w:vAlign w:val="center"/>
          </w:tcPr>
          <w:p>
            <w:pPr>
              <w:spacing w:after="20"/>
            </w:pPr>
            <w:r/>
            <w:r>
              <w:rPr>
                <w:rFonts w:ascii="Aptos" w:hAnsi="Aptos"/>
                <w:b w:val="0"/>
                <w:sz w:val="16"/>
              </w:rPr>
              <w:t>14.3%</w:t>
            </w:r>
          </w:p>
        </w:tc>
        <w:tc>
          <w:tcPr>
            <w:tcW w:type="dxa" w:w="2016"/>
            <w:vAlign w:val="center"/>
          </w:tcPr>
          <w:p>
            <w:pPr>
              <w:spacing w:after="20"/>
            </w:pPr>
            <w:r/>
            <w:r>
              <w:rPr>
                <w:rFonts w:ascii="Aptos" w:hAnsi="Aptos"/>
                <w:b w:val="0"/>
                <w:sz w:val="16"/>
              </w:rPr>
              <w:t>1,573.57</w:t>
            </w:r>
          </w:p>
        </w:tc>
      </w:tr>
    </w:tbl>
    <w:p>
      <w:pPr>
        <w:spacing w:after="20"/>
      </w:pPr>
    </w:p>
    <w:p>
      <w:r>
        <w:drawing>
          <wp:inline xmlns:a="http://schemas.openxmlformats.org/drawingml/2006/main" xmlns:pic="http://schemas.openxmlformats.org/drawingml/2006/picture">
            <wp:extent cx="5760720" cy="2678151"/>
            <wp:docPr id="2" name="Picture 2"/>
            <wp:cNvGraphicFramePr>
              <a:graphicFrameLocks noChangeAspect="1"/>
            </wp:cNvGraphicFramePr>
            <a:graphic>
              <a:graphicData uri="http://schemas.openxmlformats.org/drawingml/2006/picture">
                <pic:pic>
                  <pic:nvPicPr>
                    <pic:cNvPr id="0" name="report_plan_churn.png"/>
                    <pic:cNvPicPr/>
                  </pic:nvPicPr>
                  <pic:blipFill>
                    <a:blip r:embed="rId10"/>
                    <a:stretch>
                      <a:fillRect/>
                    </a:stretch>
                  </pic:blipFill>
                  <pic:spPr>
                    <a:xfrm>
                      <a:off x="0" y="0"/>
                      <a:ext cx="5760720" cy="2678151"/>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Q3. Which subscription type has the highest churn rate?</w:t>
            </w:r>
          </w:p>
        </w:tc>
        <w:tc>
          <w:tcPr>
            <w:tcW w:type="dxa" w:w="5040"/>
            <w:vAlign w:val="center"/>
            <w:shd w:fill="E7F3FA"/>
          </w:tcPr>
          <w:p>
            <w:pPr>
              <w:spacing w:after="20"/>
            </w:pPr>
            <w:r/>
            <w:r>
              <w:rPr>
                <w:rFonts w:ascii="Aptos" w:hAnsi="Aptos"/>
                <w:b/>
                <w:color w:val="0F5384"/>
                <w:sz w:val="18"/>
              </w:rPr>
              <w:t>Refferal: 83.3%</w:t>
            </w:r>
          </w:p>
        </w:tc>
      </w:tr>
    </w:tbl>
    <w:p>
      <w:pPr>
        <w:spacing w:after="100"/>
      </w:pPr>
      <w:r>
        <w:t>The source label is written as “Refferal” in the CSV; it is preserved here rather than silently corrected. Five of the six records in this group are marked churned.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653"/>
          </w:tcPr>
          <w:p>
            <w:pPr>
              <w:spacing w:after="20"/>
            </w:pPr>
            <w:r/>
            <w:r>
              <w:rPr>
                <w:rFonts w:ascii="Aptos" w:hAnsi="Aptos"/>
                <w:b/>
                <w:color w:val="FFFFFF"/>
                <w:sz w:val="17"/>
              </w:rPr>
              <w:t>Subscription type (source label)</w:t>
            </w:r>
          </w:p>
        </w:tc>
        <w:tc>
          <w:tcPr>
            <w:tcW w:type="dxa" w:w="2520"/>
            <w:vAlign w:val="center"/>
            <w:shd w:fill="123653"/>
          </w:tcPr>
          <w:p>
            <w:pPr>
              <w:spacing w:after="20"/>
            </w:pPr>
            <w:r/>
            <w:r>
              <w:rPr>
                <w:rFonts w:ascii="Aptos" w:hAnsi="Aptos"/>
                <w:b/>
                <w:color w:val="FFFFFF"/>
                <w:sz w:val="17"/>
              </w:rPr>
              <w:t>Customers</w:t>
            </w:r>
          </w:p>
        </w:tc>
        <w:tc>
          <w:tcPr>
            <w:tcW w:type="dxa" w:w="2520"/>
            <w:vAlign w:val="center"/>
            <w:shd w:fill="123653"/>
          </w:tcPr>
          <w:p>
            <w:pPr>
              <w:spacing w:after="20"/>
            </w:pPr>
            <w:r/>
            <w:r>
              <w:rPr>
                <w:rFonts w:ascii="Aptos" w:hAnsi="Aptos"/>
                <w:b/>
                <w:color w:val="FFFFFF"/>
                <w:sz w:val="17"/>
              </w:rPr>
              <w:t>Churned</w:t>
            </w:r>
          </w:p>
        </w:tc>
        <w:tc>
          <w:tcPr>
            <w:tcW w:type="dxa" w:w="2520"/>
            <w:vAlign w:val="center"/>
            <w:shd w:fill="123653"/>
          </w:tcPr>
          <w:p>
            <w:pPr>
              <w:spacing w:after="20"/>
            </w:pPr>
            <w:r/>
            <w:r>
              <w:rPr>
                <w:rFonts w:ascii="Aptos" w:hAnsi="Aptos"/>
                <w:b/>
                <w:color w:val="FFFFFF"/>
                <w:sz w:val="17"/>
              </w:rPr>
              <w:t>Churn rate</w:t>
            </w:r>
          </w:p>
        </w:tc>
      </w:tr>
      <w:tr>
        <w:tc>
          <w:tcPr>
            <w:tcW w:type="dxa" w:w="2520"/>
            <w:vAlign w:val="center"/>
          </w:tcPr>
          <w:p>
            <w:pPr>
              <w:spacing w:after="20"/>
            </w:pPr>
            <w:r/>
            <w:r>
              <w:rPr>
                <w:rFonts w:ascii="Aptos" w:hAnsi="Aptos"/>
                <w:b w:val="0"/>
                <w:sz w:val="16"/>
              </w:rPr>
              <w:t>Refferal</w:t>
            </w:r>
          </w:p>
        </w:tc>
        <w:tc>
          <w:tcPr>
            <w:tcW w:type="dxa" w:w="2520"/>
            <w:vAlign w:val="center"/>
          </w:tcPr>
          <w:p>
            <w:pPr>
              <w:spacing w:after="20"/>
            </w:pPr>
            <w:r/>
            <w:r>
              <w:rPr>
                <w:rFonts w:ascii="Aptos" w:hAnsi="Aptos"/>
                <w:b w:val="0"/>
                <w:sz w:val="16"/>
              </w:rPr>
              <w:t>6</w:t>
            </w:r>
          </w:p>
        </w:tc>
        <w:tc>
          <w:tcPr>
            <w:tcW w:type="dxa" w:w="2520"/>
            <w:vAlign w:val="center"/>
          </w:tcPr>
          <w:p>
            <w:pPr>
              <w:spacing w:after="20"/>
            </w:pPr>
            <w:r/>
            <w:r>
              <w:rPr>
                <w:rFonts w:ascii="Aptos" w:hAnsi="Aptos"/>
                <w:b w:val="0"/>
                <w:sz w:val="16"/>
              </w:rPr>
              <w:t>5</w:t>
            </w:r>
          </w:p>
        </w:tc>
        <w:tc>
          <w:tcPr>
            <w:tcW w:type="dxa" w:w="2520"/>
            <w:vAlign w:val="center"/>
          </w:tcPr>
          <w:p>
            <w:pPr>
              <w:spacing w:after="20"/>
            </w:pPr>
            <w:r/>
            <w:r>
              <w:rPr>
                <w:rFonts w:ascii="Aptos" w:hAnsi="Aptos"/>
                <w:b w:val="0"/>
                <w:sz w:val="16"/>
              </w:rPr>
              <w:t>83.3%</w:t>
            </w:r>
          </w:p>
        </w:tc>
      </w:tr>
      <w:tr>
        <w:tc>
          <w:tcPr>
            <w:tcW w:type="dxa" w:w="2520"/>
            <w:vAlign w:val="center"/>
            <w:shd w:fill="EEF5F9"/>
          </w:tcPr>
          <w:p>
            <w:pPr>
              <w:spacing w:after="20"/>
            </w:pPr>
            <w:r/>
            <w:r>
              <w:rPr>
                <w:rFonts w:ascii="Aptos" w:hAnsi="Aptos"/>
                <w:b w:val="0"/>
                <w:sz w:val="16"/>
              </w:rPr>
              <w:t>Paid</w:t>
            </w:r>
          </w:p>
        </w:tc>
        <w:tc>
          <w:tcPr>
            <w:tcW w:type="dxa" w:w="2520"/>
            <w:vAlign w:val="center"/>
            <w:shd w:fill="EEF5F9"/>
          </w:tcPr>
          <w:p>
            <w:pPr>
              <w:spacing w:after="20"/>
            </w:pPr>
            <w:r/>
            <w:r>
              <w:rPr>
                <w:rFonts w:ascii="Aptos" w:hAnsi="Aptos"/>
                <w:b w:val="0"/>
                <w:sz w:val="16"/>
              </w:rPr>
              <w:t>6</w:t>
            </w:r>
          </w:p>
        </w:tc>
        <w:tc>
          <w:tcPr>
            <w:tcW w:type="dxa" w:w="2520"/>
            <w:vAlign w:val="center"/>
            <w:shd w:fill="EEF5F9"/>
          </w:tcPr>
          <w:p>
            <w:pPr>
              <w:spacing w:after="20"/>
            </w:pPr>
            <w:r/>
            <w:r>
              <w:rPr>
                <w:rFonts w:ascii="Aptos" w:hAnsi="Aptos"/>
                <w:b w:val="0"/>
                <w:sz w:val="16"/>
              </w:rPr>
              <w:t>1</w:t>
            </w:r>
          </w:p>
        </w:tc>
        <w:tc>
          <w:tcPr>
            <w:tcW w:type="dxa" w:w="2520"/>
            <w:vAlign w:val="center"/>
            <w:shd w:fill="EEF5F9"/>
          </w:tcPr>
          <w:p>
            <w:pPr>
              <w:spacing w:after="20"/>
            </w:pPr>
            <w:r/>
            <w:r>
              <w:rPr>
                <w:rFonts w:ascii="Aptos" w:hAnsi="Aptos"/>
                <w:b w:val="0"/>
                <w:sz w:val="16"/>
              </w:rPr>
              <w:t>16.7%</w:t>
            </w:r>
          </w:p>
        </w:tc>
      </w:tr>
      <w:tr>
        <w:tc>
          <w:tcPr>
            <w:tcW w:type="dxa" w:w="2520"/>
            <w:vAlign w:val="center"/>
          </w:tcPr>
          <w:p>
            <w:pPr>
              <w:spacing w:after="20"/>
            </w:pPr>
            <w:r/>
            <w:r>
              <w:rPr>
                <w:rFonts w:ascii="Aptos" w:hAnsi="Aptos"/>
                <w:b w:val="0"/>
                <w:sz w:val="16"/>
              </w:rPr>
              <w:t>Organic</w:t>
            </w:r>
          </w:p>
        </w:tc>
        <w:tc>
          <w:tcPr>
            <w:tcW w:type="dxa" w:w="2520"/>
            <w:vAlign w:val="center"/>
          </w:tcPr>
          <w:p>
            <w:pPr>
              <w:spacing w:after="20"/>
            </w:pPr>
            <w:r/>
            <w:r>
              <w:rPr>
                <w:rFonts w:ascii="Aptos" w:hAnsi="Aptos"/>
                <w:b w:val="0"/>
                <w:sz w:val="16"/>
              </w:rPr>
              <w:t>9</w:t>
            </w:r>
          </w:p>
        </w:tc>
        <w:tc>
          <w:tcPr>
            <w:tcW w:type="dxa" w:w="2520"/>
            <w:vAlign w:val="center"/>
          </w:tcPr>
          <w:p>
            <w:pPr>
              <w:spacing w:after="20"/>
            </w:pPr>
            <w:r/>
            <w:r>
              <w:rPr>
                <w:rFonts w:ascii="Aptos" w:hAnsi="Aptos"/>
                <w:b w:val="0"/>
                <w:sz w:val="16"/>
              </w:rPr>
              <w:t>0</w:t>
            </w:r>
          </w:p>
        </w:tc>
        <w:tc>
          <w:tcPr>
            <w:tcW w:type="dxa" w:w="2520"/>
            <w:vAlign w:val="center"/>
          </w:tcPr>
          <w:p>
            <w:pPr>
              <w:spacing w:after="20"/>
            </w:pPr>
            <w:r/>
            <w:r>
              <w:rPr>
                <w:rFonts w:ascii="Aptos" w:hAnsi="Aptos"/>
                <w:b w:val="0"/>
                <w:sz w:val="16"/>
              </w:rPr>
              <w:t>0.0%</w:t>
            </w:r>
          </w:p>
        </w:tc>
      </w:tr>
    </w:tbl>
    <w:p>
      <w:pPr>
        <w:spacing w:after="20"/>
      </w:pPr>
    </w:p>
    <w:p>
      <w:r>
        <w:drawing>
          <wp:inline xmlns:a="http://schemas.openxmlformats.org/drawingml/2006/main" xmlns:pic="http://schemas.openxmlformats.org/drawingml/2006/picture">
            <wp:extent cx="5760720" cy="2678151"/>
            <wp:docPr id="3" name="Picture 3"/>
            <wp:cNvGraphicFramePr>
              <a:graphicFrameLocks noChangeAspect="1"/>
            </wp:cNvGraphicFramePr>
            <a:graphic>
              <a:graphicData uri="http://schemas.openxmlformats.org/drawingml/2006/picture">
                <pic:pic>
                  <pic:nvPicPr>
                    <pic:cNvPr id="0" name="report_subscription_churn.png"/>
                    <pic:cNvPicPr/>
                  </pic:nvPicPr>
                  <pic:blipFill>
                    <a:blip r:embed="rId11"/>
                    <a:stretch>
                      <a:fillRect/>
                    </a:stretch>
                  </pic:blipFill>
                  <pic:spPr>
                    <a:xfrm>
                      <a:off x="0" y="0"/>
                      <a:ext cx="5760720" cy="2678151"/>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Q4. What cancellation reasons are recorded most often?</w:t>
            </w:r>
          </w:p>
        </w:tc>
        <w:tc>
          <w:tcPr>
            <w:tcW w:type="dxa" w:w="5040"/>
            <w:vAlign w:val="center"/>
            <w:shd w:fill="E7F3FA"/>
          </w:tcPr>
          <w:p>
            <w:pPr>
              <w:spacing w:after="20"/>
            </w:pPr>
            <w:r/>
            <w:r>
              <w:rPr>
                <w:rFonts w:ascii="Aptos" w:hAnsi="Aptos"/>
                <w:b/>
                <w:color w:val="0F5384"/>
                <w:sz w:val="18"/>
              </w:rPr>
              <w:t>Switched to competitor (2 records)</w:t>
            </w:r>
          </w:p>
        </w:tc>
      </w:tr>
    </w:tbl>
    <w:p>
      <w:pPr>
        <w:spacing w:after="100"/>
      </w:pPr>
      <w:r>
        <w:t>Only six records have a cancellation reason. Two say “Switched to competitor”; each other listed reason appears once.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7"/>
              </w:rPr>
              <w:t>Cancellation reason</w:t>
            </w:r>
          </w:p>
        </w:tc>
        <w:tc>
          <w:tcPr>
            <w:tcW w:type="dxa" w:w="5040"/>
            <w:vAlign w:val="center"/>
            <w:shd w:fill="123653"/>
          </w:tcPr>
          <w:p>
            <w:pPr>
              <w:spacing w:after="20"/>
            </w:pPr>
            <w:r/>
            <w:r>
              <w:rPr>
                <w:rFonts w:ascii="Aptos" w:hAnsi="Aptos"/>
                <w:b/>
                <w:color w:val="FFFFFF"/>
                <w:sz w:val="17"/>
              </w:rPr>
              <w:t>Records</w:t>
            </w:r>
          </w:p>
        </w:tc>
      </w:tr>
      <w:tr>
        <w:tc>
          <w:tcPr>
            <w:tcW w:type="dxa" w:w="5040"/>
            <w:vAlign w:val="center"/>
          </w:tcPr>
          <w:p>
            <w:pPr>
              <w:spacing w:after="20"/>
            </w:pPr>
            <w:r/>
            <w:r>
              <w:rPr>
                <w:rFonts w:ascii="Aptos" w:hAnsi="Aptos"/>
                <w:b w:val="0"/>
                <w:sz w:val="16"/>
              </w:rPr>
              <w:t>Switched to competitor</w:t>
            </w:r>
          </w:p>
        </w:tc>
        <w:tc>
          <w:tcPr>
            <w:tcW w:type="dxa" w:w="5040"/>
            <w:vAlign w:val="center"/>
          </w:tcPr>
          <w:p>
            <w:pPr>
              <w:spacing w:after="20"/>
            </w:pPr>
            <w:r/>
            <w:r>
              <w:rPr>
                <w:rFonts w:ascii="Aptos" w:hAnsi="Aptos"/>
                <w:b w:val="0"/>
                <w:sz w:val="16"/>
              </w:rPr>
              <w:t>2</w:t>
            </w:r>
          </w:p>
        </w:tc>
      </w:tr>
      <w:tr>
        <w:tc>
          <w:tcPr>
            <w:tcW w:type="dxa" w:w="5040"/>
            <w:vAlign w:val="center"/>
            <w:shd w:fill="EEF5F9"/>
          </w:tcPr>
          <w:p>
            <w:pPr>
              <w:spacing w:after="20"/>
            </w:pPr>
            <w:r/>
            <w:r>
              <w:rPr>
                <w:rFonts w:ascii="Aptos" w:hAnsi="Aptos"/>
                <w:b w:val="0"/>
                <w:sz w:val="16"/>
              </w:rPr>
              <w:t>Too expensive</w:t>
            </w:r>
          </w:p>
        </w:tc>
        <w:tc>
          <w:tcPr>
            <w:tcW w:type="dxa" w:w="5040"/>
            <w:vAlign w:val="center"/>
            <w:shd w:fill="EEF5F9"/>
          </w:tcPr>
          <w:p>
            <w:pPr>
              <w:spacing w:after="20"/>
            </w:pPr>
            <w:r/>
            <w:r>
              <w:rPr>
                <w:rFonts w:ascii="Aptos" w:hAnsi="Aptos"/>
                <w:b w:val="0"/>
                <w:sz w:val="16"/>
              </w:rPr>
              <w:t>1</w:t>
            </w:r>
          </w:p>
        </w:tc>
      </w:tr>
      <w:tr>
        <w:tc>
          <w:tcPr>
            <w:tcW w:type="dxa" w:w="5040"/>
            <w:vAlign w:val="center"/>
          </w:tcPr>
          <w:p>
            <w:pPr>
              <w:spacing w:after="20"/>
            </w:pPr>
            <w:r/>
            <w:r>
              <w:rPr>
                <w:rFonts w:ascii="Aptos" w:hAnsi="Aptos"/>
                <w:b w:val="0"/>
                <w:sz w:val="16"/>
              </w:rPr>
              <w:t>Not enough content</w:t>
            </w:r>
          </w:p>
        </w:tc>
        <w:tc>
          <w:tcPr>
            <w:tcW w:type="dxa" w:w="5040"/>
            <w:vAlign w:val="center"/>
          </w:tcPr>
          <w:p>
            <w:pPr>
              <w:spacing w:after="20"/>
            </w:pPr>
            <w:r/>
            <w:r>
              <w:rPr>
                <w:rFonts w:ascii="Aptos" w:hAnsi="Aptos"/>
                <w:b w:val="0"/>
                <w:sz w:val="16"/>
              </w:rPr>
              <w:t>1</w:t>
            </w:r>
          </w:p>
        </w:tc>
      </w:tr>
      <w:tr>
        <w:tc>
          <w:tcPr>
            <w:tcW w:type="dxa" w:w="5040"/>
            <w:vAlign w:val="center"/>
            <w:shd w:fill="EEF5F9"/>
          </w:tcPr>
          <w:p>
            <w:pPr>
              <w:spacing w:after="20"/>
            </w:pPr>
            <w:r/>
            <w:r>
              <w:rPr>
                <w:rFonts w:ascii="Aptos" w:hAnsi="Aptos"/>
                <w:b w:val="0"/>
                <w:sz w:val="16"/>
              </w:rPr>
              <w:t>Poor streaming quality</w:t>
            </w:r>
          </w:p>
        </w:tc>
        <w:tc>
          <w:tcPr>
            <w:tcW w:type="dxa" w:w="5040"/>
            <w:vAlign w:val="center"/>
            <w:shd w:fill="EEF5F9"/>
          </w:tcPr>
          <w:p>
            <w:pPr>
              <w:spacing w:after="20"/>
            </w:pPr>
            <w:r/>
            <w:r>
              <w:rPr>
                <w:rFonts w:ascii="Aptos" w:hAnsi="Aptos"/>
                <w:b w:val="0"/>
                <w:sz w:val="16"/>
              </w:rPr>
              <w:t>1</w:t>
            </w:r>
          </w:p>
        </w:tc>
      </w:tr>
      <w:tr>
        <w:tc>
          <w:tcPr>
            <w:tcW w:type="dxa" w:w="5040"/>
            <w:vAlign w:val="center"/>
          </w:tcPr>
          <w:p>
            <w:pPr>
              <w:spacing w:after="20"/>
            </w:pPr>
            <w:r/>
            <w:r>
              <w:rPr>
                <w:rFonts w:ascii="Aptos" w:hAnsi="Aptos"/>
                <w:b w:val="0"/>
                <w:sz w:val="16"/>
              </w:rPr>
              <w:t>Forgot to cancel trial</w:t>
            </w:r>
          </w:p>
        </w:tc>
        <w:tc>
          <w:tcPr>
            <w:tcW w:type="dxa" w:w="5040"/>
            <w:vAlign w:val="center"/>
          </w:tcPr>
          <w:p>
            <w:pPr>
              <w:spacing w:after="20"/>
            </w:pPr>
            <w:r/>
            <w:r>
              <w:rPr>
                <w:rFonts w:ascii="Aptos" w:hAnsi="Aptos"/>
                <w:b w:val="0"/>
                <w:sz w:val="16"/>
              </w:rPr>
              <w:t>1</w:t>
            </w:r>
          </w:p>
        </w:tc>
      </w:tr>
    </w:tbl>
    <w:p>
      <w:pPr>
        <w:spacing w:after="20"/>
      </w:pPr>
    </w:p>
    <w:p>
      <w:r>
        <w:drawing>
          <wp:inline xmlns:a="http://schemas.openxmlformats.org/drawingml/2006/main" xmlns:pic="http://schemas.openxmlformats.org/drawingml/2006/picture">
            <wp:extent cx="5760720" cy="2680241"/>
            <wp:docPr id="4" name="Picture 4"/>
            <wp:cNvGraphicFramePr>
              <a:graphicFrameLocks noChangeAspect="1"/>
            </wp:cNvGraphicFramePr>
            <a:graphic>
              <a:graphicData uri="http://schemas.openxmlformats.org/drawingml/2006/picture">
                <pic:pic>
                  <pic:nvPicPr>
                    <pic:cNvPr id="0" name="report_reasons.png"/>
                    <pic:cNvPicPr/>
                  </pic:nvPicPr>
                  <pic:blipFill>
                    <a:blip r:embed="rId12"/>
                    <a:stretch>
                      <a:fillRect/>
                    </a:stretch>
                  </pic:blipFill>
                  <pic:spPr>
                    <a:xfrm>
                      <a:off x="0" y="0"/>
                      <a:ext cx="5760720" cy="2680241"/>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Q5. Which states show the highest observed churn?</w:t>
            </w:r>
          </w:p>
        </w:tc>
        <w:tc>
          <w:tcPr>
            <w:tcW w:type="dxa" w:w="5040"/>
            <w:vAlign w:val="center"/>
            <w:shd w:fill="E7F3FA"/>
          </w:tcPr>
          <w:p>
            <w:pPr>
              <w:spacing w:after="20"/>
            </w:pPr>
            <w:r/>
            <w:r>
              <w:rPr>
                <w:rFonts w:ascii="Aptos" w:hAnsi="Aptos"/>
                <w:b/>
                <w:color w:val="0F5384"/>
                <w:sz w:val="18"/>
              </w:rPr>
              <w:t>Karnataka: 100.0%</w:t>
            </w:r>
          </w:p>
        </w:tc>
      </w:tr>
    </w:tbl>
    <w:p>
      <w:pPr>
        <w:spacing w:after="100"/>
      </w:pPr>
      <w:r>
        <w:t>Karnataka has 2 customers and both are marked churned. Meghalaya has 2 churned among 3 customers; Telangana has 1 among 2. These small denominators mean the percentages are unstable.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653"/>
          </w:tcPr>
          <w:p>
            <w:pPr>
              <w:spacing w:after="20"/>
            </w:pPr>
            <w:r/>
            <w:r>
              <w:rPr>
                <w:rFonts w:ascii="Aptos" w:hAnsi="Aptos"/>
                <w:b/>
                <w:color w:val="FFFFFF"/>
                <w:sz w:val="17"/>
              </w:rPr>
              <w:t>State</w:t>
            </w:r>
          </w:p>
        </w:tc>
        <w:tc>
          <w:tcPr>
            <w:tcW w:type="dxa" w:w="2520"/>
            <w:vAlign w:val="center"/>
            <w:shd w:fill="123653"/>
          </w:tcPr>
          <w:p>
            <w:pPr>
              <w:spacing w:after="20"/>
            </w:pPr>
            <w:r/>
            <w:r>
              <w:rPr>
                <w:rFonts w:ascii="Aptos" w:hAnsi="Aptos"/>
                <w:b/>
                <w:color w:val="FFFFFF"/>
                <w:sz w:val="17"/>
              </w:rPr>
              <w:t>Customers</w:t>
            </w:r>
          </w:p>
        </w:tc>
        <w:tc>
          <w:tcPr>
            <w:tcW w:type="dxa" w:w="2520"/>
            <w:vAlign w:val="center"/>
            <w:shd w:fill="123653"/>
          </w:tcPr>
          <w:p>
            <w:pPr>
              <w:spacing w:after="20"/>
            </w:pPr>
            <w:r/>
            <w:r>
              <w:rPr>
                <w:rFonts w:ascii="Aptos" w:hAnsi="Aptos"/>
                <w:b/>
                <w:color w:val="FFFFFF"/>
                <w:sz w:val="17"/>
              </w:rPr>
              <w:t>Churned</w:t>
            </w:r>
          </w:p>
        </w:tc>
        <w:tc>
          <w:tcPr>
            <w:tcW w:type="dxa" w:w="2520"/>
            <w:vAlign w:val="center"/>
            <w:shd w:fill="123653"/>
          </w:tcPr>
          <w:p>
            <w:pPr>
              <w:spacing w:after="20"/>
            </w:pPr>
            <w:r/>
            <w:r>
              <w:rPr>
                <w:rFonts w:ascii="Aptos" w:hAnsi="Aptos"/>
                <w:b/>
                <w:color w:val="FFFFFF"/>
                <w:sz w:val="17"/>
              </w:rPr>
              <w:t>Churn rate</w:t>
            </w:r>
          </w:p>
        </w:tc>
      </w:tr>
      <w:tr>
        <w:tc>
          <w:tcPr>
            <w:tcW w:type="dxa" w:w="2520"/>
            <w:vAlign w:val="center"/>
          </w:tcPr>
          <w:p>
            <w:pPr>
              <w:spacing w:after="20"/>
            </w:pPr>
            <w:r/>
            <w:r>
              <w:rPr>
                <w:rFonts w:ascii="Aptos" w:hAnsi="Aptos"/>
                <w:b w:val="0"/>
                <w:sz w:val="16"/>
              </w:rPr>
              <w:t>Karnataka</w:t>
            </w:r>
          </w:p>
        </w:tc>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100.0%</w:t>
            </w:r>
          </w:p>
        </w:tc>
      </w:tr>
      <w:tr>
        <w:tc>
          <w:tcPr>
            <w:tcW w:type="dxa" w:w="2520"/>
            <w:vAlign w:val="center"/>
            <w:shd w:fill="EEF5F9"/>
          </w:tcPr>
          <w:p>
            <w:pPr>
              <w:spacing w:after="20"/>
            </w:pPr>
            <w:r/>
            <w:r>
              <w:rPr>
                <w:rFonts w:ascii="Aptos" w:hAnsi="Aptos"/>
                <w:b w:val="0"/>
                <w:sz w:val="16"/>
              </w:rPr>
              <w:t>Meghalaya</w:t>
            </w:r>
          </w:p>
        </w:tc>
        <w:tc>
          <w:tcPr>
            <w:tcW w:type="dxa" w:w="2520"/>
            <w:vAlign w:val="center"/>
            <w:shd w:fill="EEF5F9"/>
          </w:tcPr>
          <w:p>
            <w:pPr>
              <w:spacing w:after="20"/>
            </w:pPr>
            <w:r/>
            <w:r>
              <w:rPr>
                <w:rFonts w:ascii="Aptos" w:hAnsi="Aptos"/>
                <w:b w:val="0"/>
                <w:sz w:val="16"/>
              </w:rPr>
              <w:t>3</w:t>
            </w:r>
          </w:p>
        </w:tc>
        <w:tc>
          <w:tcPr>
            <w:tcW w:type="dxa" w:w="2520"/>
            <w:vAlign w:val="center"/>
            <w:shd w:fill="EEF5F9"/>
          </w:tcPr>
          <w:p>
            <w:pPr>
              <w:spacing w:after="20"/>
            </w:pPr>
            <w:r/>
            <w:r>
              <w:rPr>
                <w:rFonts w:ascii="Aptos" w:hAnsi="Aptos"/>
                <w:b w:val="0"/>
                <w:sz w:val="16"/>
              </w:rPr>
              <w:t>2</w:t>
            </w:r>
          </w:p>
        </w:tc>
        <w:tc>
          <w:tcPr>
            <w:tcW w:type="dxa" w:w="2520"/>
            <w:vAlign w:val="center"/>
            <w:shd w:fill="EEF5F9"/>
          </w:tcPr>
          <w:p>
            <w:pPr>
              <w:spacing w:after="20"/>
            </w:pPr>
            <w:r/>
            <w:r>
              <w:rPr>
                <w:rFonts w:ascii="Aptos" w:hAnsi="Aptos"/>
                <w:b w:val="0"/>
                <w:sz w:val="16"/>
              </w:rPr>
              <w:t>66.7%</w:t>
            </w:r>
          </w:p>
        </w:tc>
      </w:tr>
      <w:tr>
        <w:tc>
          <w:tcPr>
            <w:tcW w:type="dxa" w:w="2520"/>
            <w:vAlign w:val="center"/>
          </w:tcPr>
          <w:p>
            <w:pPr>
              <w:spacing w:after="20"/>
            </w:pPr>
            <w:r/>
            <w:r>
              <w:rPr>
                <w:rFonts w:ascii="Aptos" w:hAnsi="Aptos"/>
                <w:b w:val="0"/>
                <w:sz w:val="16"/>
              </w:rPr>
              <w:t>Telangana</w:t>
            </w:r>
          </w:p>
        </w:tc>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1</w:t>
            </w:r>
          </w:p>
        </w:tc>
        <w:tc>
          <w:tcPr>
            <w:tcW w:type="dxa" w:w="2520"/>
            <w:vAlign w:val="center"/>
          </w:tcPr>
          <w:p>
            <w:pPr>
              <w:spacing w:after="20"/>
            </w:pPr>
            <w:r/>
            <w:r>
              <w:rPr>
                <w:rFonts w:ascii="Aptos" w:hAnsi="Aptos"/>
                <w:b w:val="0"/>
                <w:sz w:val="16"/>
              </w:rPr>
              <w:t>50.0%</w:t>
            </w:r>
          </w:p>
        </w:tc>
      </w:tr>
      <w:tr>
        <w:tc>
          <w:tcPr>
            <w:tcW w:type="dxa" w:w="2520"/>
            <w:vAlign w:val="center"/>
            <w:shd w:fill="EEF5F9"/>
          </w:tcPr>
          <w:p>
            <w:pPr>
              <w:spacing w:after="20"/>
            </w:pPr>
            <w:r/>
            <w:r>
              <w:rPr>
                <w:rFonts w:ascii="Aptos" w:hAnsi="Aptos"/>
                <w:b w:val="0"/>
                <w:sz w:val="16"/>
              </w:rPr>
              <w:t>Delhi</w:t>
            </w:r>
          </w:p>
        </w:tc>
        <w:tc>
          <w:tcPr>
            <w:tcW w:type="dxa" w:w="2520"/>
            <w:vAlign w:val="center"/>
            <w:shd w:fill="EEF5F9"/>
          </w:tcPr>
          <w:p>
            <w:pPr>
              <w:spacing w:after="20"/>
            </w:pPr>
            <w:r/>
            <w:r>
              <w:rPr>
                <w:rFonts w:ascii="Aptos" w:hAnsi="Aptos"/>
                <w:b w:val="0"/>
                <w:sz w:val="16"/>
              </w:rPr>
              <w:t>4</w:t>
            </w:r>
          </w:p>
        </w:tc>
        <w:tc>
          <w:tcPr>
            <w:tcW w:type="dxa" w:w="2520"/>
            <w:vAlign w:val="center"/>
            <w:shd w:fill="EEF5F9"/>
          </w:tcPr>
          <w:p>
            <w:pPr>
              <w:spacing w:after="20"/>
            </w:pPr>
            <w:r/>
            <w:r>
              <w:rPr>
                <w:rFonts w:ascii="Aptos" w:hAnsi="Aptos"/>
                <w:b w:val="0"/>
                <w:sz w:val="16"/>
              </w:rPr>
              <w:t>1</w:t>
            </w:r>
          </w:p>
        </w:tc>
        <w:tc>
          <w:tcPr>
            <w:tcW w:type="dxa" w:w="2520"/>
            <w:vAlign w:val="center"/>
            <w:shd w:fill="EEF5F9"/>
          </w:tcPr>
          <w:p>
            <w:pPr>
              <w:spacing w:after="20"/>
            </w:pPr>
            <w:r/>
            <w:r>
              <w:rPr>
                <w:rFonts w:ascii="Aptos" w:hAnsi="Aptos"/>
                <w:b w:val="0"/>
                <w:sz w:val="16"/>
              </w:rPr>
              <w:t>25.0%</w:t>
            </w:r>
          </w:p>
        </w:tc>
      </w:tr>
      <w:tr>
        <w:tc>
          <w:tcPr>
            <w:tcW w:type="dxa" w:w="2520"/>
            <w:vAlign w:val="center"/>
          </w:tcPr>
          <w:p>
            <w:pPr>
              <w:spacing w:after="20"/>
            </w:pPr>
            <w:r/>
            <w:r>
              <w:rPr>
                <w:rFonts w:ascii="Aptos" w:hAnsi="Aptos"/>
                <w:b w:val="0"/>
                <w:sz w:val="16"/>
              </w:rPr>
              <w:t>Kathmandu</w:t>
            </w:r>
          </w:p>
        </w:tc>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0</w:t>
            </w:r>
          </w:p>
        </w:tc>
        <w:tc>
          <w:tcPr>
            <w:tcW w:type="dxa" w:w="2520"/>
            <w:vAlign w:val="center"/>
          </w:tcPr>
          <w:p>
            <w:pPr>
              <w:spacing w:after="20"/>
            </w:pPr>
            <w:r/>
            <w:r>
              <w:rPr>
                <w:rFonts w:ascii="Aptos" w:hAnsi="Aptos"/>
                <w:b w:val="0"/>
                <w:sz w:val="16"/>
              </w:rPr>
              <w:t>0.0%</w:t>
            </w:r>
          </w:p>
        </w:tc>
      </w:tr>
      <w:tr>
        <w:tc>
          <w:tcPr>
            <w:tcW w:type="dxa" w:w="2520"/>
            <w:vAlign w:val="center"/>
            <w:shd w:fill="EEF5F9"/>
          </w:tcPr>
          <w:p>
            <w:pPr>
              <w:spacing w:after="20"/>
            </w:pPr>
            <w:r/>
            <w:r>
              <w:rPr>
                <w:rFonts w:ascii="Aptos" w:hAnsi="Aptos"/>
                <w:b w:val="0"/>
                <w:sz w:val="16"/>
              </w:rPr>
              <w:t>Maharashtra</w:t>
            </w:r>
          </w:p>
        </w:tc>
        <w:tc>
          <w:tcPr>
            <w:tcW w:type="dxa" w:w="2520"/>
            <w:vAlign w:val="center"/>
            <w:shd w:fill="EEF5F9"/>
          </w:tcPr>
          <w:p>
            <w:pPr>
              <w:spacing w:after="20"/>
            </w:pPr>
            <w:r/>
            <w:r>
              <w:rPr>
                <w:rFonts w:ascii="Aptos" w:hAnsi="Aptos"/>
                <w:b w:val="0"/>
                <w:sz w:val="16"/>
              </w:rPr>
              <w:t>3</w:t>
            </w:r>
          </w:p>
        </w:tc>
        <w:tc>
          <w:tcPr>
            <w:tcW w:type="dxa" w:w="2520"/>
            <w:vAlign w:val="center"/>
            <w:shd w:fill="EEF5F9"/>
          </w:tcPr>
          <w:p>
            <w:pPr>
              <w:spacing w:after="20"/>
            </w:pPr>
            <w:r/>
            <w:r>
              <w:rPr>
                <w:rFonts w:ascii="Aptos" w:hAnsi="Aptos"/>
                <w:b w:val="0"/>
                <w:sz w:val="16"/>
              </w:rPr>
              <w:t>0</w:t>
            </w:r>
          </w:p>
        </w:tc>
        <w:tc>
          <w:tcPr>
            <w:tcW w:type="dxa" w:w="2520"/>
            <w:vAlign w:val="center"/>
            <w:shd w:fill="EEF5F9"/>
          </w:tcPr>
          <w:p>
            <w:pPr>
              <w:spacing w:after="20"/>
            </w:pPr>
            <w:r/>
            <w:r>
              <w:rPr>
                <w:rFonts w:ascii="Aptos" w:hAnsi="Aptos"/>
                <w:b w:val="0"/>
                <w:sz w:val="16"/>
              </w:rPr>
              <w:t>0.0%</w:t>
            </w:r>
          </w:p>
        </w:tc>
      </w:tr>
      <w:tr>
        <w:tc>
          <w:tcPr>
            <w:tcW w:type="dxa" w:w="2520"/>
            <w:vAlign w:val="center"/>
          </w:tcPr>
          <w:p>
            <w:pPr>
              <w:spacing w:after="20"/>
            </w:pPr>
            <w:r/>
            <w:r>
              <w:rPr>
                <w:rFonts w:ascii="Aptos" w:hAnsi="Aptos"/>
                <w:b w:val="0"/>
                <w:sz w:val="16"/>
              </w:rPr>
              <w:t>Nagaland</w:t>
            </w:r>
          </w:p>
        </w:tc>
        <w:tc>
          <w:tcPr>
            <w:tcW w:type="dxa" w:w="2520"/>
            <w:vAlign w:val="center"/>
          </w:tcPr>
          <w:p>
            <w:pPr>
              <w:spacing w:after="20"/>
            </w:pPr>
            <w:r/>
            <w:r>
              <w:rPr>
                <w:rFonts w:ascii="Aptos" w:hAnsi="Aptos"/>
                <w:b w:val="0"/>
                <w:sz w:val="16"/>
              </w:rPr>
              <w:t>1</w:t>
            </w:r>
          </w:p>
        </w:tc>
        <w:tc>
          <w:tcPr>
            <w:tcW w:type="dxa" w:w="2520"/>
            <w:vAlign w:val="center"/>
          </w:tcPr>
          <w:p>
            <w:pPr>
              <w:spacing w:after="20"/>
            </w:pPr>
            <w:r/>
            <w:r>
              <w:rPr>
                <w:rFonts w:ascii="Aptos" w:hAnsi="Aptos"/>
                <w:b w:val="0"/>
                <w:sz w:val="16"/>
              </w:rPr>
              <w:t>0</w:t>
            </w:r>
          </w:p>
        </w:tc>
        <w:tc>
          <w:tcPr>
            <w:tcW w:type="dxa" w:w="2520"/>
            <w:vAlign w:val="center"/>
          </w:tcPr>
          <w:p>
            <w:pPr>
              <w:spacing w:after="20"/>
            </w:pPr>
            <w:r/>
            <w:r>
              <w:rPr>
                <w:rFonts w:ascii="Aptos" w:hAnsi="Aptos"/>
                <w:b w:val="0"/>
                <w:sz w:val="16"/>
              </w:rPr>
              <w:t>0.0%</w:t>
            </w:r>
          </w:p>
        </w:tc>
      </w:tr>
      <w:tr>
        <w:tc>
          <w:tcPr>
            <w:tcW w:type="dxa" w:w="2520"/>
            <w:vAlign w:val="center"/>
            <w:shd w:fill="EEF5F9"/>
          </w:tcPr>
          <w:p>
            <w:pPr>
              <w:spacing w:after="20"/>
            </w:pPr>
            <w:r/>
            <w:r>
              <w:rPr>
                <w:rFonts w:ascii="Aptos" w:hAnsi="Aptos"/>
                <w:b w:val="0"/>
                <w:sz w:val="16"/>
              </w:rPr>
              <w:t>Rajasthan</w:t>
            </w:r>
          </w:p>
        </w:tc>
        <w:tc>
          <w:tcPr>
            <w:tcW w:type="dxa" w:w="2520"/>
            <w:vAlign w:val="center"/>
            <w:shd w:fill="EEF5F9"/>
          </w:tcPr>
          <w:p>
            <w:pPr>
              <w:spacing w:after="20"/>
            </w:pPr>
            <w:r/>
            <w:r>
              <w:rPr>
                <w:rFonts w:ascii="Aptos" w:hAnsi="Aptos"/>
                <w:b w:val="0"/>
                <w:sz w:val="16"/>
              </w:rPr>
              <w:t>2</w:t>
            </w:r>
          </w:p>
        </w:tc>
        <w:tc>
          <w:tcPr>
            <w:tcW w:type="dxa" w:w="2520"/>
            <w:vAlign w:val="center"/>
            <w:shd w:fill="EEF5F9"/>
          </w:tcPr>
          <w:p>
            <w:pPr>
              <w:spacing w:after="20"/>
            </w:pPr>
            <w:r/>
            <w:r>
              <w:rPr>
                <w:rFonts w:ascii="Aptos" w:hAnsi="Aptos"/>
                <w:b w:val="0"/>
                <w:sz w:val="16"/>
              </w:rPr>
              <w:t>0</w:t>
            </w:r>
          </w:p>
        </w:tc>
        <w:tc>
          <w:tcPr>
            <w:tcW w:type="dxa" w:w="2520"/>
            <w:vAlign w:val="center"/>
            <w:shd w:fill="EEF5F9"/>
          </w:tcPr>
          <w:p>
            <w:pPr>
              <w:spacing w:after="20"/>
            </w:pPr>
            <w:r/>
            <w:r>
              <w:rPr>
                <w:rFonts w:ascii="Aptos" w:hAnsi="Aptos"/>
                <w:b w:val="0"/>
                <w:sz w:val="16"/>
              </w:rPr>
              <w:t>0.0%</w:t>
            </w:r>
          </w:p>
        </w:tc>
      </w:tr>
      <w:tr>
        <w:tc>
          <w:tcPr>
            <w:tcW w:type="dxa" w:w="2520"/>
            <w:vAlign w:val="center"/>
          </w:tcPr>
          <w:p>
            <w:pPr>
              <w:spacing w:after="20"/>
            </w:pPr>
            <w:r/>
            <w:r>
              <w:rPr>
                <w:rFonts w:ascii="Aptos" w:hAnsi="Aptos"/>
                <w:b w:val="0"/>
                <w:sz w:val="16"/>
              </w:rPr>
              <w:t>Uttar Pradesh</w:t>
            </w:r>
          </w:p>
        </w:tc>
        <w:tc>
          <w:tcPr>
            <w:tcW w:type="dxa" w:w="2520"/>
            <w:vAlign w:val="center"/>
          </w:tcPr>
          <w:p>
            <w:pPr>
              <w:spacing w:after="20"/>
            </w:pPr>
            <w:r/>
            <w:r>
              <w:rPr>
                <w:rFonts w:ascii="Aptos" w:hAnsi="Aptos"/>
                <w:b w:val="0"/>
                <w:sz w:val="16"/>
              </w:rPr>
              <w:t>2</w:t>
            </w:r>
          </w:p>
        </w:tc>
        <w:tc>
          <w:tcPr>
            <w:tcW w:type="dxa" w:w="2520"/>
            <w:vAlign w:val="center"/>
          </w:tcPr>
          <w:p>
            <w:pPr>
              <w:spacing w:after="20"/>
            </w:pPr>
            <w:r/>
            <w:r>
              <w:rPr>
                <w:rFonts w:ascii="Aptos" w:hAnsi="Aptos"/>
                <w:b w:val="0"/>
                <w:sz w:val="16"/>
              </w:rPr>
              <w:t>0</w:t>
            </w:r>
          </w:p>
        </w:tc>
        <w:tc>
          <w:tcPr>
            <w:tcW w:type="dxa" w:w="2520"/>
            <w:vAlign w:val="center"/>
          </w:tcPr>
          <w:p>
            <w:pPr>
              <w:spacing w:after="20"/>
            </w:pPr>
            <w:r/>
            <w:r>
              <w:rPr>
                <w:rFonts w:ascii="Aptos" w:hAnsi="Aptos"/>
                <w:b w:val="0"/>
                <w:sz w:val="16"/>
              </w:rPr>
              <w:t>0.0%</w:t>
            </w:r>
          </w:p>
        </w:tc>
      </w:tr>
    </w:tbl>
    <w:p>
      <w:pPr>
        <w:spacing w:after="20"/>
      </w:pPr>
    </w:p>
    <w:p>
      <w:r>
        <w:drawing>
          <wp:inline xmlns:a="http://schemas.openxmlformats.org/drawingml/2006/main" xmlns:pic="http://schemas.openxmlformats.org/drawingml/2006/picture">
            <wp:extent cx="5760720" cy="2676063"/>
            <wp:docPr id="5" name="Picture 5"/>
            <wp:cNvGraphicFramePr>
              <a:graphicFrameLocks noChangeAspect="1"/>
            </wp:cNvGraphicFramePr>
            <a:graphic>
              <a:graphicData uri="http://schemas.openxmlformats.org/drawingml/2006/picture">
                <pic:pic>
                  <pic:nvPicPr>
                    <pic:cNvPr id="0" name="report_state_churn.png"/>
                    <pic:cNvPicPr/>
                  </pic:nvPicPr>
                  <pic:blipFill>
                    <a:blip r:embed="rId13"/>
                    <a:stretch>
                      <a:fillRect/>
                    </a:stretch>
                  </pic:blipFill>
                  <pic:spPr>
                    <a:xfrm>
                      <a:off x="0" y="0"/>
                      <a:ext cx="5760720" cy="2676063"/>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Q6. Does churn differ by gender in this sample?</w:t>
            </w:r>
          </w:p>
        </w:tc>
        <w:tc>
          <w:tcPr>
            <w:tcW w:type="dxa" w:w="5040"/>
            <w:vAlign w:val="center"/>
            <w:shd w:fill="E7F3FA"/>
          </w:tcPr>
          <w:p>
            <w:pPr>
              <w:spacing w:after="20"/>
            </w:pPr>
            <w:r/>
            <w:r>
              <w:rPr>
                <w:rFonts w:ascii="Aptos" w:hAnsi="Aptos"/>
                <w:b/>
                <w:color w:val="0F5384"/>
                <w:sz w:val="18"/>
              </w:rPr>
              <w:t>Female: 33.3%; Male: 22.2%</w:t>
            </w:r>
          </w:p>
        </w:tc>
      </w:tr>
    </w:tbl>
    <w:p>
      <w:pPr>
        <w:spacing w:after="100"/>
      </w:pPr>
      <w:r>
        <w:t>Female customers have a higher observed churn rate in this dataset, but this does not establish gender as a cause or justify treating customers differently.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653"/>
          </w:tcPr>
          <w:p>
            <w:pPr>
              <w:spacing w:after="20"/>
            </w:pPr>
            <w:r/>
            <w:r>
              <w:rPr>
                <w:rFonts w:ascii="Aptos" w:hAnsi="Aptos"/>
                <w:b/>
                <w:color w:val="FFFFFF"/>
                <w:sz w:val="17"/>
              </w:rPr>
              <w:t>Gender</w:t>
            </w:r>
          </w:p>
        </w:tc>
        <w:tc>
          <w:tcPr>
            <w:tcW w:type="dxa" w:w="2520"/>
            <w:vAlign w:val="center"/>
            <w:shd w:fill="123653"/>
          </w:tcPr>
          <w:p>
            <w:pPr>
              <w:spacing w:after="20"/>
            </w:pPr>
            <w:r/>
            <w:r>
              <w:rPr>
                <w:rFonts w:ascii="Aptos" w:hAnsi="Aptos"/>
                <w:b/>
                <w:color w:val="FFFFFF"/>
                <w:sz w:val="17"/>
              </w:rPr>
              <w:t>Customers</w:t>
            </w:r>
          </w:p>
        </w:tc>
        <w:tc>
          <w:tcPr>
            <w:tcW w:type="dxa" w:w="2520"/>
            <w:vAlign w:val="center"/>
            <w:shd w:fill="123653"/>
          </w:tcPr>
          <w:p>
            <w:pPr>
              <w:spacing w:after="20"/>
            </w:pPr>
            <w:r/>
            <w:r>
              <w:rPr>
                <w:rFonts w:ascii="Aptos" w:hAnsi="Aptos"/>
                <w:b/>
                <w:color w:val="FFFFFF"/>
                <w:sz w:val="17"/>
              </w:rPr>
              <w:t>Churned</w:t>
            </w:r>
          </w:p>
        </w:tc>
        <w:tc>
          <w:tcPr>
            <w:tcW w:type="dxa" w:w="2520"/>
            <w:vAlign w:val="center"/>
            <w:shd w:fill="123653"/>
          </w:tcPr>
          <w:p>
            <w:pPr>
              <w:spacing w:after="20"/>
            </w:pPr>
            <w:r/>
            <w:r>
              <w:rPr>
                <w:rFonts w:ascii="Aptos" w:hAnsi="Aptos"/>
                <w:b/>
                <w:color w:val="FFFFFF"/>
                <w:sz w:val="17"/>
              </w:rPr>
              <w:t>Churn rate</w:t>
            </w:r>
          </w:p>
        </w:tc>
      </w:tr>
      <w:tr>
        <w:tc>
          <w:tcPr>
            <w:tcW w:type="dxa" w:w="2520"/>
            <w:vAlign w:val="center"/>
          </w:tcPr>
          <w:p>
            <w:pPr>
              <w:spacing w:after="20"/>
            </w:pPr>
            <w:r/>
            <w:r>
              <w:rPr>
                <w:rFonts w:ascii="Aptos" w:hAnsi="Aptos"/>
                <w:b w:val="0"/>
                <w:sz w:val="16"/>
              </w:rPr>
              <w:t>Female</w:t>
            </w:r>
          </w:p>
        </w:tc>
        <w:tc>
          <w:tcPr>
            <w:tcW w:type="dxa" w:w="2520"/>
            <w:vAlign w:val="center"/>
          </w:tcPr>
          <w:p>
            <w:pPr>
              <w:spacing w:after="20"/>
            </w:pPr>
            <w:r/>
            <w:r>
              <w:rPr>
                <w:rFonts w:ascii="Aptos" w:hAnsi="Aptos"/>
                <w:b w:val="0"/>
                <w:sz w:val="16"/>
              </w:rPr>
              <w:t>12</w:t>
            </w:r>
          </w:p>
        </w:tc>
        <w:tc>
          <w:tcPr>
            <w:tcW w:type="dxa" w:w="2520"/>
            <w:vAlign w:val="center"/>
          </w:tcPr>
          <w:p>
            <w:pPr>
              <w:spacing w:after="20"/>
            </w:pPr>
            <w:r/>
            <w:r>
              <w:rPr>
                <w:rFonts w:ascii="Aptos" w:hAnsi="Aptos"/>
                <w:b w:val="0"/>
                <w:sz w:val="16"/>
              </w:rPr>
              <w:t>4</w:t>
            </w:r>
          </w:p>
        </w:tc>
        <w:tc>
          <w:tcPr>
            <w:tcW w:type="dxa" w:w="2520"/>
            <w:vAlign w:val="center"/>
          </w:tcPr>
          <w:p>
            <w:pPr>
              <w:spacing w:after="20"/>
            </w:pPr>
            <w:r/>
            <w:r>
              <w:rPr>
                <w:rFonts w:ascii="Aptos" w:hAnsi="Aptos"/>
                <w:b w:val="0"/>
                <w:sz w:val="16"/>
              </w:rPr>
              <w:t>33.3%</w:t>
            </w:r>
          </w:p>
        </w:tc>
      </w:tr>
      <w:tr>
        <w:tc>
          <w:tcPr>
            <w:tcW w:type="dxa" w:w="2520"/>
            <w:vAlign w:val="center"/>
            <w:shd w:fill="EEF5F9"/>
          </w:tcPr>
          <w:p>
            <w:pPr>
              <w:spacing w:after="20"/>
            </w:pPr>
            <w:r/>
            <w:r>
              <w:rPr>
                <w:rFonts w:ascii="Aptos" w:hAnsi="Aptos"/>
                <w:b w:val="0"/>
                <w:sz w:val="16"/>
              </w:rPr>
              <w:t>Male</w:t>
            </w:r>
          </w:p>
        </w:tc>
        <w:tc>
          <w:tcPr>
            <w:tcW w:type="dxa" w:w="2520"/>
            <w:vAlign w:val="center"/>
            <w:shd w:fill="EEF5F9"/>
          </w:tcPr>
          <w:p>
            <w:pPr>
              <w:spacing w:after="20"/>
            </w:pPr>
            <w:r/>
            <w:r>
              <w:rPr>
                <w:rFonts w:ascii="Aptos" w:hAnsi="Aptos"/>
                <w:b w:val="0"/>
                <w:sz w:val="16"/>
              </w:rPr>
              <w:t>9</w:t>
            </w:r>
          </w:p>
        </w:tc>
        <w:tc>
          <w:tcPr>
            <w:tcW w:type="dxa" w:w="2520"/>
            <w:vAlign w:val="center"/>
            <w:shd w:fill="EEF5F9"/>
          </w:tcPr>
          <w:p>
            <w:pPr>
              <w:spacing w:after="20"/>
            </w:pPr>
            <w:r/>
            <w:r>
              <w:rPr>
                <w:rFonts w:ascii="Aptos" w:hAnsi="Aptos"/>
                <w:b w:val="0"/>
                <w:sz w:val="16"/>
              </w:rPr>
              <w:t>2</w:t>
            </w:r>
          </w:p>
        </w:tc>
        <w:tc>
          <w:tcPr>
            <w:tcW w:type="dxa" w:w="2520"/>
            <w:vAlign w:val="center"/>
            <w:shd w:fill="EEF5F9"/>
          </w:tcPr>
          <w:p>
            <w:pPr>
              <w:spacing w:after="20"/>
            </w:pPr>
            <w:r/>
            <w:r>
              <w:rPr>
                <w:rFonts w:ascii="Aptos" w:hAnsi="Aptos"/>
                <w:b w:val="0"/>
                <w:sz w:val="16"/>
              </w:rPr>
              <w:t>22.2%</w:t>
            </w:r>
          </w:p>
        </w:tc>
      </w:tr>
    </w:tbl>
    <w:p>
      <w:pPr>
        <w:spacing w:after="20"/>
      </w:pPr>
    </w:p>
    <w:p>
      <w:r>
        <w:drawing>
          <wp:inline xmlns:a="http://schemas.openxmlformats.org/drawingml/2006/main" xmlns:pic="http://schemas.openxmlformats.org/drawingml/2006/picture">
            <wp:extent cx="5760720" cy="2676063"/>
            <wp:docPr id="6" name="Picture 6"/>
            <wp:cNvGraphicFramePr>
              <a:graphicFrameLocks noChangeAspect="1"/>
            </wp:cNvGraphicFramePr>
            <a:graphic>
              <a:graphicData uri="http://schemas.openxmlformats.org/drawingml/2006/picture">
                <pic:pic>
                  <pic:nvPicPr>
                    <pic:cNvPr id="0" name="report_gender_churn.png"/>
                    <pic:cNvPicPr/>
                  </pic:nvPicPr>
                  <pic:blipFill>
                    <a:blip r:embed="rId14"/>
                    <a:stretch>
                      <a:fillRect/>
                    </a:stretch>
                  </pic:blipFill>
                  <pic:spPr>
                    <a:xfrm>
                      <a:off x="0" y="0"/>
                      <a:ext cx="5760720" cy="2676063"/>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Q7. What is the average customer value?</w:t>
            </w:r>
          </w:p>
        </w:tc>
        <w:tc>
          <w:tcPr>
            <w:tcW w:type="dxa" w:w="5040"/>
            <w:vAlign w:val="center"/>
            <w:shd w:fill="E7F3FA"/>
          </w:tcPr>
          <w:p>
            <w:pPr>
              <w:spacing w:after="20"/>
            </w:pPr>
            <w:r/>
            <w:r>
              <w:rPr>
                <w:rFonts w:ascii="Aptos" w:hAnsi="Aptos"/>
                <w:b/>
                <w:color w:val="0F5384"/>
                <w:sz w:val="18"/>
              </w:rPr>
              <w:t>Average CLTV = 823.52</w:t>
            </w:r>
          </w:p>
        </w:tc>
      </w:tr>
    </w:tbl>
    <w:p>
      <w:pPr>
        <w:spacing w:after="100"/>
      </w:pPr>
      <w:r>
        <w:t>Average monthly charges are 18.85. The dataset does not specify a currency, so the report does not attach a currency symbol.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Q8. Can we make a reliable satisfaction conclusion?</w:t>
            </w:r>
          </w:p>
        </w:tc>
        <w:tc>
          <w:tcPr>
            <w:tcW w:type="dxa" w:w="5040"/>
            <w:vAlign w:val="center"/>
            <w:shd w:fill="E7F3FA"/>
          </w:tcPr>
          <w:p>
            <w:pPr>
              <w:spacing w:after="20"/>
            </w:pPr>
            <w:r/>
            <w:r>
              <w:rPr>
                <w:rFonts w:ascii="Aptos" w:hAnsi="Aptos"/>
                <w:b/>
                <w:color w:val="0F5384"/>
                <w:sz w:val="18"/>
              </w:rPr>
              <w:t>CSAT available for 7/21 records</w:t>
            </w:r>
          </w:p>
        </w:tc>
      </w:tr>
    </w:tbl>
    <w:p>
      <w:pPr>
        <w:spacing w:after="100"/>
      </w:pPr>
      <w:r>
        <w:t>The mean of non-missing CSAT values is 42.14. Because 14 records have no CSAT value, this should not be treated as a complete customer-wide satisfaction estimate.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8"/>
              </w:rPr>
              <w:t>Q9. Is complaint data complete?</w:t>
            </w:r>
          </w:p>
        </w:tc>
        <w:tc>
          <w:tcPr>
            <w:tcW w:type="dxa" w:w="5040"/>
            <w:vAlign w:val="center"/>
            <w:shd w:fill="E7F3FA"/>
          </w:tcPr>
          <w:p>
            <w:pPr>
              <w:spacing w:after="20"/>
            </w:pPr>
            <w:r/>
            <w:r>
              <w:rPr>
                <w:rFonts w:ascii="Aptos" w:hAnsi="Aptos"/>
                <w:b/>
                <w:color w:val="0F5384"/>
                <w:sz w:val="18"/>
              </w:rPr>
              <w:t>7/21 records have a complaint date</w:t>
            </w:r>
          </w:p>
        </w:tc>
      </w:tr>
    </w:tbl>
    <w:p>
      <w:pPr>
        <w:spacing w:after="100"/>
      </w:pPr>
      <w:r>
        <w:t>Complaint date, escalation, CSAT and complaint count fields are partially populated. Any analysis using these fields should report the number of available records.</w:t>
      </w:r>
    </w:p>
    <w:p>
      <w:pPr>
        <w:pStyle w:val="Heading1"/>
      </w:pPr>
      <w:r>
        <w:t>5. Additional Dashboard Observations</w:t>
      </w:r>
    </w:p>
    <w:p>
      <w:pPr>
        <w:pStyle w:val="ListBullet"/>
        <w:spacing w:after="40"/>
      </w:pPr>
      <w:r>
        <w:t>The supplied dashboard screenshot displays the same value (42.14) in two cards both labelled “Average CSAT.” This appears to be a duplicated KPI label/value and should be checked in the dashboard configuration.</w:t>
      </w:r>
    </w:p>
    <w:p>
      <w:pPr>
        <w:pStyle w:val="ListBullet"/>
        <w:spacing w:after="40"/>
      </w:pPr>
      <w:r>
        <w:t>The screenshot shows a monthly churn trend, but the exported CSV has only 21 records and does not by itself establish a full monthly time series. Verify the date aggregation and filter logic before interpreting the trend.</w:t>
      </w:r>
    </w:p>
    <w:p>
      <w:pPr>
        <w:pStyle w:val="ListBullet"/>
        <w:spacing w:after="40"/>
      </w:pPr>
      <w:r>
        <w:t>The dashboard uses the labels Organic, Paid, and Referral-like source labels. The CSV spells one category “Refferal”; standardize category spelling in the source/model if appropriate, and keep a documented mapping.</w:t>
      </w:r>
    </w:p>
    <w:p>
      <w:pPr>
        <w:pStyle w:val="ListBullet"/>
        <w:spacing w:after="40"/>
      </w:pPr>
      <w:r>
        <w:t>The dashboard has country and state filters, but the CSV contains 19 India records and 2 records with a different country value. Confirm geographic naming conventions before comparing regions.</w:t>
      </w:r>
    </w:p>
    <w:p>
      <w:pPr>
        <w:pStyle w:val="Heading1"/>
      </w:pPr>
      <w:r>
        <w:t>6.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653"/>
          </w:tcPr>
          <w:p>
            <w:pPr>
              <w:spacing w:after="20"/>
            </w:pPr>
            <w:r/>
            <w:r>
              <w:rPr>
                <w:rFonts w:ascii="Aptos" w:hAnsi="Aptos"/>
                <w:b/>
                <w:color w:val="FFFFFF"/>
                <w:sz w:val="17"/>
              </w:rPr>
              <w:t>Priority</w:t>
            </w:r>
          </w:p>
        </w:tc>
        <w:tc>
          <w:tcPr>
            <w:tcW w:type="dxa" w:w="3360"/>
            <w:vAlign w:val="center"/>
            <w:shd w:fill="123653"/>
          </w:tcPr>
          <w:p>
            <w:pPr>
              <w:spacing w:after="20"/>
            </w:pPr>
            <w:r/>
            <w:r>
              <w:rPr>
                <w:rFonts w:ascii="Aptos" w:hAnsi="Aptos"/>
                <w:b/>
                <w:color w:val="FFFFFF"/>
                <w:sz w:val="17"/>
              </w:rPr>
              <w:t>Recommendation</w:t>
            </w:r>
          </w:p>
        </w:tc>
        <w:tc>
          <w:tcPr>
            <w:tcW w:type="dxa" w:w="3360"/>
            <w:vAlign w:val="center"/>
            <w:shd w:fill="123653"/>
          </w:tcPr>
          <w:p>
            <w:pPr>
              <w:spacing w:after="20"/>
            </w:pPr>
            <w:r/>
            <w:r>
              <w:rPr>
                <w:rFonts w:ascii="Aptos" w:hAnsi="Aptos"/>
                <w:b/>
                <w:color w:val="FFFFFF"/>
                <w:sz w:val="17"/>
              </w:rPr>
              <w:t>Reason / next step</w:t>
            </w:r>
          </w:p>
        </w:tc>
      </w:tr>
      <w:tr>
        <w:tc>
          <w:tcPr>
            <w:tcW w:type="dxa" w:w="3360"/>
            <w:vAlign w:val="center"/>
          </w:tcPr>
          <w:p>
            <w:pPr>
              <w:spacing w:after="20"/>
            </w:pPr>
            <w:r/>
            <w:r>
              <w:rPr>
                <w:rFonts w:ascii="Aptos" w:hAnsi="Aptos"/>
                <w:b w:val="0"/>
                <w:sz w:val="16"/>
              </w:rPr>
              <w:t>1 — High</w:t>
            </w:r>
          </w:p>
        </w:tc>
        <w:tc>
          <w:tcPr>
            <w:tcW w:type="dxa" w:w="3360"/>
            <w:vAlign w:val="center"/>
          </w:tcPr>
          <w:p>
            <w:pPr>
              <w:spacing w:after="20"/>
            </w:pPr>
            <w:r/>
            <w:r>
              <w:rPr>
                <w:rFonts w:ascii="Aptos" w:hAnsi="Aptos"/>
                <w:b w:val="0"/>
                <w:sz w:val="16"/>
              </w:rPr>
              <w:t>Review Basic-plan churn</w:t>
            </w:r>
          </w:p>
        </w:tc>
        <w:tc>
          <w:tcPr>
            <w:tcW w:type="dxa" w:w="3360"/>
            <w:vAlign w:val="center"/>
          </w:tcPr>
          <w:p>
            <w:pPr>
              <w:spacing w:after="20"/>
            </w:pPr>
            <w:r/>
            <w:r>
              <w:rPr>
                <w:rFonts w:ascii="Aptos" w:hAnsi="Aptos"/>
                <w:b w:val="0"/>
                <w:sz w:val="16"/>
              </w:rPr>
              <w:t>Basic shows 60.0% churn (3/5). Inspect price, plan features, contract terms, and customer feedback before testing an offer.</w:t>
            </w:r>
          </w:p>
        </w:tc>
      </w:tr>
      <w:tr>
        <w:tc>
          <w:tcPr>
            <w:tcW w:type="dxa" w:w="3360"/>
            <w:vAlign w:val="center"/>
            <w:shd w:fill="EEF5F9"/>
          </w:tcPr>
          <w:p>
            <w:pPr>
              <w:spacing w:after="20"/>
            </w:pPr>
            <w:r/>
            <w:r>
              <w:rPr>
                <w:rFonts w:ascii="Aptos" w:hAnsi="Aptos"/>
                <w:b w:val="0"/>
                <w:sz w:val="16"/>
              </w:rPr>
              <w:t>2 — High</w:t>
            </w:r>
          </w:p>
        </w:tc>
        <w:tc>
          <w:tcPr>
            <w:tcW w:type="dxa" w:w="3360"/>
            <w:vAlign w:val="center"/>
            <w:shd w:fill="EEF5F9"/>
          </w:tcPr>
          <w:p>
            <w:pPr>
              <w:spacing w:after="20"/>
            </w:pPr>
            <w:r/>
            <w:r>
              <w:rPr>
                <w:rFonts w:ascii="Aptos" w:hAnsi="Aptos"/>
                <w:b w:val="0"/>
                <w:sz w:val="16"/>
              </w:rPr>
              <w:t>Investigate referral-source records</w:t>
            </w:r>
          </w:p>
        </w:tc>
        <w:tc>
          <w:tcPr>
            <w:tcW w:type="dxa" w:w="3360"/>
            <w:vAlign w:val="center"/>
            <w:shd w:fill="EEF5F9"/>
          </w:tcPr>
          <w:p>
            <w:pPr>
              <w:spacing w:after="20"/>
            </w:pPr>
            <w:r/>
            <w:r>
              <w:rPr>
                <w:rFonts w:ascii="Aptos" w:hAnsi="Aptos"/>
                <w:b w:val="0"/>
                <w:sz w:val="16"/>
              </w:rPr>
              <w:t>Referral-labelled records show 83.3% churn (5/6). Validate the category, referral attribution, and whether these customers share a common onboarding or service issue.</w:t>
            </w:r>
          </w:p>
        </w:tc>
      </w:tr>
      <w:tr>
        <w:tc>
          <w:tcPr>
            <w:tcW w:type="dxa" w:w="3360"/>
            <w:vAlign w:val="center"/>
          </w:tcPr>
          <w:p>
            <w:pPr>
              <w:spacing w:after="20"/>
            </w:pPr>
            <w:r/>
            <w:r>
              <w:rPr>
                <w:rFonts w:ascii="Aptos" w:hAnsi="Aptos"/>
                <w:b w:val="0"/>
                <w:sz w:val="16"/>
              </w:rPr>
              <w:t>3 — High</w:t>
            </w:r>
          </w:p>
        </w:tc>
        <w:tc>
          <w:tcPr>
            <w:tcW w:type="dxa" w:w="3360"/>
            <w:vAlign w:val="center"/>
          </w:tcPr>
          <w:p>
            <w:pPr>
              <w:spacing w:after="20"/>
            </w:pPr>
            <w:r/>
            <w:r>
              <w:rPr>
                <w:rFonts w:ascii="Aptos" w:hAnsi="Aptos"/>
                <w:b w:val="0"/>
                <w:sz w:val="16"/>
              </w:rPr>
              <w:t>Capture cancellation reasons consistently</w:t>
            </w:r>
          </w:p>
        </w:tc>
        <w:tc>
          <w:tcPr>
            <w:tcW w:type="dxa" w:w="3360"/>
            <w:vAlign w:val="center"/>
          </w:tcPr>
          <w:p>
            <w:pPr>
              <w:spacing w:after="20"/>
            </w:pPr>
            <w:r/>
            <w:r>
              <w:rPr>
                <w:rFonts w:ascii="Aptos" w:hAnsi="Aptos"/>
                <w:b w:val="0"/>
                <w:sz w:val="16"/>
              </w:rPr>
              <w:t>Only 6 of 21 records contain a reason. Make cancellation reason a required structured field where feasible.</w:t>
            </w:r>
          </w:p>
        </w:tc>
      </w:tr>
      <w:tr>
        <w:tc>
          <w:tcPr>
            <w:tcW w:type="dxa" w:w="3360"/>
            <w:vAlign w:val="center"/>
            <w:shd w:fill="EEF5F9"/>
          </w:tcPr>
          <w:p>
            <w:pPr>
              <w:spacing w:after="20"/>
            </w:pPr>
            <w:r/>
            <w:r>
              <w:rPr>
                <w:rFonts w:ascii="Aptos" w:hAnsi="Aptos"/>
                <w:b w:val="0"/>
                <w:sz w:val="16"/>
              </w:rPr>
              <w:t>4 — Medium</w:t>
            </w:r>
          </w:p>
        </w:tc>
        <w:tc>
          <w:tcPr>
            <w:tcW w:type="dxa" w:w="3360"/>
            <w:vAlign w:val="center"/>
            <w:shd w:fill="EEF5F9"/>
          </w:tcPr>
          <w:p>
            <w:pPr>
              <w:spacing w:after="20"/>
            </w:pPr>
            <w:r/>
            <w:r>
              <w:rPr>
                <w:rFonts w:ascii="Aptos" w:hAnsi="Aptos"/>
                <w:b w:val="0"/>
                <w:sz w:val="16"/>
              </w:rPr>
              <w:t>Improve CSAT and complaint completeness</w:t>
            </w:r>
          </w:p>
        </w:tc>
        <w:tc>
          <w:tcPr>
            <w:tcW w:type="dxa" w:w="3360"/>
            <w:vAlign w:val="center"/>
            <w:shd w:fill="EEF5F9"/>
          </w:tcPr>
          <w:p>
            <w:pPr>
              <w:spacing w:after="20"/>
            </w:pPr>
            <w:r/>
            <w:r>
              <w:rPr>
                <w:rFonts w:ascii="Aptos" w:hAnsi="Aptos"/>
                <w:b w:val="0"/>
                <w:sz w:val="16"/>
              </w:rPr>
              <w:t>Only 7 records contain CSAT and complaint date data. Increase response capture and monitor missingness.</w:t>
            </w:r>
          </w:p>
        </w:tc>
      </w:tr>
      <w:tr>
        <w:tc>
          <w:tcPr>
            <w:tcW w:type="dxa" w:w="3360"/>
            <w:vAlign w:val="center"/>
          </w:tcPr>
          <w:p>
            <w:pPr>
              <w:spacing w:after="20"/>
            </w:pPr>
            <w:r/>
            <w:r>
              <w:rPr>
                <w:rFonts w:ascii="Aptos" w:hAnsi="Aptos"/>
                <w:b w:val="0"/>
                <w:sz w:val="16"/>
              </w:rPr>
              <w:t>5 — Medium</w:t>
            </w:r>
          </w:p>
        </w:tc>
        <w:tc>
          <w:tcPr>
            <w:tcW w:type="dxa" w:w="3360"/>
            <w:vAlign w:val="center"/>
          </w:tcPr>
          <w:p>
            <w:pPr>
              <w:spacing w:after="20"/>
            </w:pPr>
            <w:r/>
            <w:r>
              <w:rPr>
                <w:rFonts w:ascii="Aptos" w:hAnsi="Aptos"/>
                <w:b w:val="0"/>
                <w:sz w:val="16"/>
              </w:rPr>
              <w:t>Use cautious state-level monitoring</w:t>
            </w:r>
          </w:p>
        </w:tc>
        <w:tc>
          <w:tcPr>
            <w:tcW w:type="dxa" w:w="3360"/>
            <w:vAlign w:val="center"/>
          </w:tcPr>
          <w:p>
            <w:pPr>
              <w:spacing w:after="20"/>
            </w:pPr>
            <w:r/>
            <w:r>
              <w:rPr>
                <w:rFonts w:ascii="Aptos" w:hAnsi="Aptos"/>
                <w:b w:val="0"/>
                <w:sz w:val="16"/>
              </w:rPr>
              <w:t>Karnataka's 100% rate is based on only 2 records. Collect more observations before region-specific decisions.</w:t>
            </w:r>
          </w:p>
        </w:tc>
      </w:tr>
      <w:tr>
        <w:tc>
          <w:tcPr>
            <w:tcW w:type="dxa" w:w="3360"/>
            <w:vAlign w:val="center"/>
            <w:shd w:fill="EEF5F9"/>
          </w:tcPr>
          <w:p>
            <w:pPr>
              <w:spacing w:after="20"/>
            </w:pPr>
            <w:r/>
            <w:r>
              <w:rPr>
                <w:rFonts w:ascii="Aptos" w:hAnsi="Aptos"/>
                <w:b w:val="0"/>
                <w:sz w:val="16"/>
              </w:rPr>
              <w:t>6 — Medium</w:t>
            </w:r>
          </w:p>
        </w:tc>
        <w:tc>
          <w:tcPr>
            <w:tcW w:type="dxa" w:w="3360"/>
            <w:vAlign w:val="center"/>
            <w:shd w:fill="EEF5F9"/>
          </w:tcPr>
          <w:p>
            <w:pPr>
              <w:spacing w:after="20"/>
            </w:pPr>
            <w:r/>
            <w:r>
              <w:rPr>
                <w:rFonts w:ascii="Aptos" w:hAnsi="Aptos"/>
                <w:b w:val="0"/>
                <w:sz w:val="16"/>
              </w:rPr>
              <w:t>Validate dashboard KPIs</w:t>
            </w:r>
          </w:p>
        </w:tc>
        <w:tc>
          <w:tcPr>
            <w:tcW w:type="dxa" w:w="3360"/>
            <w:vAlign w:val="center"/>
            <w:shd w:fill="EEF5F9"/>
          </w:tcPr>
          <w:p>
            <w:pPr>
              <w:spacing w:after="20"/>
            </w:pPr>
            <w:r/>
            <w:r>
              <w:rPr>
                <w:rFonts w:ascii="Aptos" w:hAnsi="Aptos"/>
                <w:b w:val="0"/>
                <w:sz w:val="16"/>
              </w:rPr>
              <w:t>Fix the duplicated Average CSAT card and verify date grouping, category labels, and filter interactions.</w:t>
            </w:r>
          </w:p>
        </w:tc>
      </w:tr>
      <w:tr>
        <w:tc>
          <w:tcPr>
            <w:tcW w:type="dxa" w:w="3360"/>
            <w:vAlign w:val="center"/>
          </w:tcPr>
          <w:p>
            <w:pPr>
              <w:spacing w:after="20"/>
            </w:pPr>
            <w:r/>
            <w:r>
              <w:rPr>
                <w:rFonts w:ascii="Aptos" w:hAnsi="Aptos"/>
                <w:b w:val="0"/>
                <w:sz w:val="16"/>
              </w:rPr>
              <w:t>7 — Future</w:t>
            </w:r>
          </w:p>
        </w:tc>
        <w:tc>
          <w:tcPr>
            <w:tcW w:type="dxa" w:w="3360"/>
            <w:vAlign w:val="center"/>
          </w:tcPr>
          <w:p>
            <w:pPr>
              <w:spacing w:after="20"/>
            </w:pPr>
            <w:r/>
            <w:r>
              <w:rPr>
                <w:rFonts w:ascii="Aptos" w:hAnsi="Aptos"/>
                <w:b w:val="0"/>
                <w:sz w:val="16"/>
              </w:rPr>
              <w:t>Build a larger time-based churn dataset</w:t>
            </w:r>
          </w:p>
        </w:tc>
        <w:tc>
          <w:tcPr>
            <w:tcW w:type="dxa" w:w="3360"/>
            <w:vAlign w:val="center"/>
          </w:tcPr>
          <w:p>
            <w:pPr>
              <w:spacing w:after="20"/>
            </w:pPr>
            <w:r/>
            <w:r>
              <w:rPr>
                <w:rFonts w:ascii="Aptos" w:hAnsi="Aptos"/>
                <w:b w:val="0"/>
                <w:sz w:val="16"/>
              </w:rPr>
              <w:t>Use multiple months and a larger customer cohort to identify trends and test whether retention actions improve outcomes.</w:t>
            </w:r>
          </w:p>
        </w:tc>
      </w:tr>
    </w:tbl>
    <w:p>
      <w:pPr>
        <w:spacing w:after="20"/>
      </w:pPr>
    </w:p>
    <w:p>
      <w:pPr>
        <w:pStyle w:val="Heading1"/>
      </w:pPr>
      <w:r>
        <w:t>7. Limitations &amp; Interpretation Notes</w:t>
      </w:r>
    </w:p>
    <w:p>
      <w:pPr>
        <w:pStyle w:val="ListBullet"/>
        <w:spacing w:after="40"/>
      </w:pPr>
      <w:r>
        <w:t>Sample size is only 21 customers; subgroup rates are highly sensitive to individual records.</w:t>
      </w:r>
    </w:p>
    <w:p>
      <w:pPr>
        <w:pStyle w:val="ListBullet"/>
        <w:spacing w:after="40"/>
      </w:pPr>
      <w:r>
        <w:t>The data is observational. Associations do not prove that a plan, source, gender, or state causes churn.</w:t>
      </w:r>
    </w:p>
    <w:p>
      <w:pPr>
        <w:pStyle w:val="ListBullet"/>
        <w:spacing w:after="40"/>
      </w:pPr>
      <w:r>
        <w:t>The CSV has missing values in cancellation, complaint, escalation, CSAT, and complaint-count fields.</w:t>
      </w:r>
    </w:p>
    <w:p>
      <w:pPr>
        <w:pStyle w:val="ListBullet"/>
        <w:spacing w:after="40"/>
      </w:pPr>
      <w:r>
        <w:t>Currency and units for CLTV and monthly charges are not explicitly documented in the CSV.</w:t>
      </w:r>
    </w:p>
    <w:p>
      <w:pPr>
        <w:pStyle w:val="ListBullet"/>
        <w:spacing w:after="40"/>
      </w:pPr>
      <w:r>
        <w:t>The screenshot contains dashboard summaries that may be based on filters or transformations not reproducible from the CSV alone.</w:t>
      </w:r>
    </w:p>
    <w:p>
      <w:pPr>
        <w:pStyle w:val="ListBullet"/>
        <w:spacing w:after="40"/>
      </w:pPr>
      <w:r>
        <w:t>The report describes the supplied extract, not the full customer population.</w:t>
      </w:r>
    </w:p>
    <w:p>
      <w:pPr>
        <w:pStyle w:val="Heading1"/>
      </w:pPr>
      <w:r>
        <w:t>8. Conclusion</w:t>
      </w:r>
    </w:p>
    <w:p>
      <w:r>
        <w:t>The supplied extract reports a 28.6% churn rate, with Basic plans and the referral-labelled subscription group showing the highest observed churn rates in their respective comparisons. Switched to competitor is the most frequently recorded cancellation reason. The strongest immediate actions are to validate the dashboard, improve reason/CSAT data completeness, and investigate the highest-churn groups with a larger sample before launching targeted retention policies.</w:t>
      </w:r>
    </w:p>
    <w:p>
      <w:pPr>
        <w:pStyle w:val="Heading1"/>
      </w:pPr>
      <w:r>
        <w:t>Appendix A — Data dictionary (selected fields)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653"/>
          </w:tcPr>
          <w:p>
            <w:pPr>
              <w:spacing w:after="20"/>
            </w:pPr>
            <w:r/>
            <w:r>
              <w:rPr>
                <w:rFonts w:ascii="Aptos" w:hAnsi="Aptos"/>
                <w:b/>
                <w:color w:val="FFFFFF"/>
                <w:sz w:val="17"/>
              </w:rPr>
              <w:t>Field</w:t>
            </w:r>
          </w:p>
        </w:tc>
        <w:tc>
          <w:tcPr>
            <w:tcW w:type="dxa" w:w="5040"/>
            <w:vAlign w:val="center"/>
            <w:shd w:fill="123653"/>
          </w:tcPr>
          <w:p>
            <w:pPr>
              <w:spacing w:after="20"/>
            </w:pPr>
            <w:r/>
            <w:r>
              <w:rPr>
                <w:rFonts w:ascii="Aptos" w:hAnsi="Aptos"/>
                <w:b/>
                <w:color w:val="FFFFFF"/>
                <w:sz w:val="17"/>
              </w:rPr>
              <w:t>Meaning used in this report</w:t>
            </w:r>
          </w:p>
        </w:tc>
      </w:tr>
      <w:tr>
        <w:tc>
          <w:tcPr>
            <w:tcW w:type="dxa" w:w="5040"/>
            <w:vAlign w:val="center"/>
          </w:tcPr>
          <w:p>
            <w:pPr>
              <w:spacing w:after="20"/>
            </w:pPr>
            <w:r/>
            <w:r>
              <w:rPr>
                <w:rFonts w:ascii="Aptos" w:hAnsi="Aptos"/>
                <w:b w:val="0"/>
                <w:sz w:val="16"/>
              </w:rPr>
              <w:t>customerid</w:t>
            </w:r>
          </w:p>
        </w:tc>
        <w:tc>
          <w:tcPr>
            <w:tcW w:type="dxa" w:w="5040"/>
            <w:vAlign w:val="center"/>
          </w:tcPr>
          <w:p>
            <w:pPr>
              <w:spacing w:after="20"/>
            </w:pPr>
            <w:r/>
            <w:r>
              <w:rPr>
                <w:rFonts w:ascii="Aptos" w:hAnsi="Aptos"/>
                <w:b w:val="0"/>
                <w:sz w:val="16"/>
              </w:rPr>
              <w:t>Customer identifier; not reproduced in this report.</w:t>
            </w:r>
          </w:p>
        </w:tc>
      </w:tr>
      <w:tr>
        <w:tc>
          <w:tcPr>
            <w:tcW w:type="dxa" w:w="5040"/>
            <w:vAlign w:val="center"/>
            <w:shd w:fill="EEF5F9"/>
          </w:tcPr>
          <w:p>
            <w:pPr>
              <w:spacing w:after="20"/>
            </w:pPr>
            <w:r/>
            <w:r>
              <w:rPr>
                <w:rFonts w:ascii="Aptos" w:hAnsi="Aptos"/>
                <w:b w:val="0"/>
                <w:sz w:val="16"/>
              </w:rPr>
              <w:t>plan_type</w:t>
            </w:r>
          </w:p>
        </w:tc>
        <w:tc>
          <w:tcPr>
            <w:tcW w:type="dxa" w:w="5040"/>
            <w:vAlign w:val="center"/>
            <w:shd w:fill="EEF5F9"/>
          </w:tcPr>
          <w:p>
            <w:pPr>
              <w:spacing w:after="20"/>
            </w:pPr>
            <w:r/>
            <w:r>
              <w:rPr>
                <w:rFonts w:ascii="Aptos" w:hAnsi="Aptos"/>
                <w:b w:val="0"/>
                <w:sz w:val="16"/>
              </w:rPr>
              <w:t>Plan category (Basic, Standard, Premium).</w:t>
            </w:r>
          </w:p>
        </w:tc>
      </w:tr>
      <w:tr>
        <w:tc>
          <w:tcPr>
            <w:tcW w:type="dxa" w:w="5040"/>
            <w:vAlign w:val="center"/>
          </w:tcPr>
          <w:p>
            <w:pPr>
              <w:spacing w:after="20"/>
            </w:pPr>
            <w:r/>
            <w:r>
              <w:rPr>
                <w:rFonts w:ascii="Aptos" w:hAnsi="Aptos"/>
                <w:b w:val="0"/>
                <w:sz w:val="16"/>
              </w:rPr>
              <w:t>subscription_type</w:t>
            </w:r>
          </w:p>
        </w:tc>
        <w:tc>
          <w:tcPr>
            <w:tcW w:type="dxa" w:w="5040"/>
            <w:vAlign w:val="center"/>
          </w:tcPr>
          <w:p>
            <w:pPr>
              <w:spacing w:after="20"/>
            </w:pPr>
            <w:r/>
            <w:r>
              <w:rPr>
                <w:rFonts w:ascii="Aptos" w:hAnsi="Aptos"/>
                <w:b w:val="0"/>
                <w:sz w:val="16"/>
              </w:rPr>
              <w:t>Subscription/acquisition category as provided in the CSV.</w:t>
            </w:r>
          </w:p>
        </w:tc>
      </w:tr>
      <w:tr>
        <w:tc>
          <w:tcPr>
            <w:tcW w:type="dxa" w:w="5040"/>
            <w:vAlign w:val="center"/>
            <w:shd w:fill="EEF5F9"/>
          </w:tcPr>
          <w:p>
            <w:pPr>
              <w:spacing w:after="20"/>
            </w:pPr>
            <w:r/>
            <w:r>
              <w:rPr>
                <w:rFonts w:ascii="Aptos" w:hAnsi="Aptos"/>
                <w:b w:val="0"/>
                <w:sz w:val="16"/>
              </w:rPr>
              <w:t>churn_flag</w:t>
            </w:r>
          </w:p>
        </w:tc>
        <w:tc>
          <w:tcPr>
            <w:tcW w:type="dxa" w:w="5040"/>
            <w:vAlign w:val="center"/>
            <w:shd w:fill="EEF5F9"/>
          </w:tcPr>
          <w:p>
            <w:pPr>
              <w:spacing w:after="20"/>
            </w:pPr>
            <w:r/>
            <w:r>
              <w:rPr>
                <w:rFonts w:ascii="Aptos" w:hAnsi="Aptos"/>
                <w:b w:val="0"/>
                <w:sz w:val="16"/>
              </w:rPr>
              <w:t>Binary outcome: 1 = churned, 0 = not marked churned.</w:t>
            </w:r>
          </w:p>
        </w:tc>
      </w:tr>
      <w:tr>
        <w:tc>
          <w:tcPr>
            <w:tcW w:type="dxa" w:w="5040"/>
            <w:vAlign w:val="center"/>
          </w:tcPr>
          <w:p>
            <w:pPr>
              <w:spacing w:after="20"/>
            </w:pPr>
            <w:r/>
            <w:r>
              <w:rPr>
                <w:rFonts w:ascii="Aptos" w:hAnsi="Aptos"/>
                <w:b w:val="0"/>
                <w:sz w:val="16"/>
              </w:rPr>
              <w:t>cancellation_reason</w:t>
            </w:r>
          </w:p>
        </w:tc>
        <w:tc>
          <w:tcPr>
            <w:tcW w:type="dxa" w:w="5040"/>
            <w:vAlign w:val="center"/>
          </w:tcPr>
          <w:p>
            <w:pPr>
              <w:spacing w:after="20"/>
            </w:pPr>
            <w:r/>
            <w:r>
              <w:rPr>
                <w:rFonts w:ascii="Aptos" w:hAnsi="Aptos"/>
                <w:b w:val="0"/>
                <w:sz w:val="16"/>
              </w:rPr>
              <w:t>Recorded reason for cancellation, where available.</w:t>
            </w:r>
          </w:p>
        </w:tc>
      </w:tr>
      <w:tr>
        <w:tc>
          <w:tcPr>
            <w:tcW w:type="dxa" w:w="5040"/>
            <w:vAlign w:val="center"/>
            <w:shd w:fill="EEF5F9"/>
          </w:tcPr>
          <w:p>
            <w:pPr>
              <w:spacing w:after="20"/>
            </w:pPr>
            <w:r/>
            <w:r>
              <w:rPr>
                <w:rFonts w:ascii="Aptos" w:hAnsi="Aptos"/>
                <w:b w:val="0"/>
                <w:sz w:val="16"/>
              </w:rPr>
              <w:t>monthly_charges</w:t>
            </w:r>
          </w:p>
        </w:tc>
        <w:tc>
          <w:tcPr>
            <w:tcW w:type="dxa" w:w="5040"/>
            <w:vAlign w:val="center"/>
            <w:shd w:fill="EEF5F9"/>
          </w:tcPr>
          <w:p>
            <w:pPr>
              <w:spacing w:after="20"/>
            </w:pPr>
            <w:r/>
            <w:r>
              <w:rPr>
                <w:rFonts w:ascii="Aptos" w:hAnsi="Aptos"/>
                <w:b w:val="0"/>
                <w:sz w:val="16"/>
              </w:rPr>
              <w:t>Monthly charges numeric field; currency not specified.</w:t>
            </w:r>
          </w:p>
        </w:tc>
      </w:tr>
      <w:tr>
        <w:tc>
          <w:tcPr>
            <w:tcW w:type="dxa" w:w="5040"/>
            <w:vAlign w:val="center"/>
          </w:tcPr>
          <w:p>
            <w:pPr>
              <w:spacing w:after="20"/>
            </w:pPr>
            <w:r/>
            <w:r>
              <w:rPr>
                <w:rFonts w:ascii="Aptos" w:hAnsi="Aptos"/>
                <w:b w:val="0"/>
                <w:sz w:val="16"/>
              </w:rPr>
              <w:t>cltv</w:t>
            </w:r>
          </w:p>
        </w:tc>
        <w:tc>
          <w:tcPr>
            <w:tcW w:type="dxa" w:w="5040"/>
            <w:vAlign w:val="center"/>
          </w:tcPr>
          <w:p>
            <w:pPr>
              <w:spacing w:after="20"/>
            </w:pPr>
            <w:r/>
            <w:r>
              <w:rPr>
                <w:rFonts w:ascii="Aptos" w:hAnsi="Aptos"/>
                <w:b w:val="0"/>
                <w:sz w:val="16"/>
              </w:rPr>
              <w:t>Customer lifetime value numeric field; currency not specified.</w:t>
            </w:r>
          </w:p>
        </w:tc>
      </w:tr>
      <w:tr>
        <w:tc>
          <w:tcPr>
            <w:tcW w:type="dxa" w:w="5040"/>
            <w:vAlign w:val="center"/>
            <w:shd w:fill="EEF5F9"/>
          </w:tcPr>
          <w:p>
            <w:pPr>
              <w:spacing w:after="20"/>
            </w:pPr>
            <w:r/>
            <w:r>
              <w:rPr>
                <w:rFonts w:ascii="Aptos" w:hAnsi="Aptos"/>
                <w:b w:val="0"/>
                <w:sz w:val="16"/>
              </w:rPr>
              <w:t>churn_score</w:t>
            </w:r>
          </w:p>
        </w:tc>
        <w:tc>
          <w:tcPr>
            <w:tcW w:type="dxa" w:w="5040"/>
            <w:vAlign w:val="center"/>
            <w:shd w:fill="EEF5F9"/>
          </w:tcPr>
          <w:p>
            <w:pPr>
              <w:spacing w:after="20"/>
            </w:pPr>
            <w:r/>
            <w:r>
              <w:rPr>
                <w:rFonts w:ascii="Aptos" w:hAnsi="Aptos"/>
                <w:b w:val="0"/>
                <w:sz w:val="16"/>
              </w:rPr>
              <w:t>Numeric score field supplied in the export; model meaning/scale not documented.</w:t>
            </w:r>
          </w:p>
        </w:tc>
      </w:tr>
      <w:tr>
        <w:tc>
          <w:tcPr>
            <w:tcW w:type="dxa" w:w="5040"/>
            <w:vAlign w:val="center"/>
          </w:tcPr>
          <w:p>
            <w:pPr>
              <w:spacing w:after="20"/>
            </w:pPr>
            <w:r/>
            <w:r>
              <w:rPr>
                <w:rFonts w:ascii="Aptos" w:hAnsi="Aptos"/>
                <w:b w:val="0"/>
                <w:sz w:val="16"/>
              </w:rPr>
              <w:t>csat_score</w:t>
            </w:r>
          </w:p>
        </w:tc>
        <w:tc>
          <w:tcPr>
            <w:tcW w:type="dxa" w:w="5040"/>
            <w:vAlign w:val="center"/>
          </w:tcPr>
          <w:p>
            <w:pPr>
              <w:spacing w:after="20"/>
            </w:pPr>
            <w:r/>
            <w:r>
              <w:rPr>
                <w:rFonts w:ascii="Aptos" w:hAnsi="Aptos"/>
                <w:b w:val="0"/>
                <w:sz w:val="16"/>
              </w:rPr>
              <w:t>Customer satisfaction score where populated; scale not documented.</w:t>
            </w:r>
          </w:p>
        </w:tc>
      </w:tr>
    </w:tbl>
    <w:p>
      <w:pPr>
        <w:spacing w:after="20"/>
      </w:pPr>
    </w:p>
    <w:p>
      <w:r>
        <w:t>Source files: churn_analysis.ipynb, exported_churn_data.csv, and the supplied Customer Churn &amp; Subscription Analytics dashboard screenshot.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538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538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53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6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