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619DDB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3B5C252D" w:rsidR="00B43D38" w:rsidRDefault="000164D3" w:rsidP="000164D3">
      <w:pPr>
        <w:tabs>
          <w:tab w:val="left" w:pos="4724"/>
          <w:tab w:val="right" w:pos="7700"/>
        </w:tabs>
        <w:jc w:val="right"/>
        <w:rPr>
          <w:rFonts w:ascii="Arial" w:eastAsia="Calibri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1C3BD458">
                <wp:simplePos x="0" y="0"/>
                <wp:positionH relativeFrom="column">
                  <wp:posOffset>1841500</wp:posOffset>
                </wp:positionH>
                <wp:positionV relativeFrom="paragraph">
                  <wp:posOffset>174462</wp:posOffset>
                </wp:positionV>
                <wp:extent cx="6867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ADC15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pt,13.75pt" to="685.75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" strokecolor="#c0d959" strokeweight=".5pt">
                <v:stroke joinstyle="miter"/>
              </v:line>
            </w:pict>
          </mc:Fallback>
        </mc:AlternateContent>
      </w:r>
      <w:r>
        <w:tab/>
      </w:r>
      <w:r w:rsidRPr="00406217">
        <w:rPr>
          <w:rFonts w:ascii="Arial" w:hAnsi="Arial" w:cs="Arial"/>
        </w:rPr>
        <w:tab/>
      </w:r>
      <w:r w:rsidR="00B86AA4">
        <w:rPr>
          <w:rFonts w:ascii="Arial" w:eastAsia="Calibri" w:hAnsi="Arial" w:cs="Arial"/>
          <w:color w:val="46A5DC"/>
          <w:sz w:val="28"/>
        </w:rPr>
        <w:t xml:space="preserve">Curriculum Development Using </w:t>
      </w:r>
      <w:proofErr w:type="gramStart"/>
      <w:r w:rsidR="00B86AA4">
        <w:rPr>
          <w:rFonts w:ascii="Arial" w:eastAsia="Calibri" w:hAnsi="Arial" w:cs="Arial"/>
          <w:color w:val="46A5DC"/>
          <w:sz w:val="28"/>
        </w:rPr>
        <w:t>A</w:t>
      </w:r>
      <w:proofErr w:type="gramEnd"/>
      <w:r w:rsidR="00B86AA4">
        <w:rPr>
          <w:rFonts w:ascii="Arial" w:eastAsia="Calibri" w:hAnsi="Arial" w:cs="Arial"/>
          <w:color w:val="46A5DC"/>
          <w:sz w:val="28"/>
        </w:rPr>
        <w:t xml:space="preserve"> Mapping Framework</w:t>
      </w:r>
    </w:p>
    <w:p w14:paraId="52011A80" w14:textId="2A7B1BF6" w:rsidR="006C2AA6" w:rsidRPr="006C2AA6" w:rsidRDefault="006C2AA6" w:rsidP="00B86AA4">
      <w:pPr>
        <w:tabs>
          <w:tab w:val="left" w:pos="4724"/>
          <w:tab w:val="right" w:pos="7700"/>
        </w:tabs>
        <w:jc w:val="center"/>
        <w:rPr>
          <w:rFonts w:ascii="Arial" w:hAnsi="Arial" w:cs="Arial"/>
          <w:i/>
          <w:color w:val="46A5DC"/>
          <w:sz w:val="18"/>
        </w:rPr>
      </w:pP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P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A352CAC" w14:textId="088A65A4" w:rsidR="000164D3" w:rsidRDefault="00B87986" w:rsidP="006C2AA6">
      <w:pPr>
        <w:tabs>
          <w:tab w:val="left" w:pos="4724"/>
          <w:tab w:val="right" w:pos="7700"/>
        </w:tabs>
        <w:spacing w:before="120"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Outcome</w:t>
      </w:r>
      <w:r w:rsidR="006C2AA6">
        <w:rPr>
          <w:rFonts w:ascii="Helvetica" w:hAnsi="Helvetica"/>
          <w:color w:val="46A5DC"/>
        </w:rPr>
        <w:t xml:space="preserve"> </w:t>
      </w:r>
    </w:p>
    <w:p w14:paraId="0984B898" w14:textId="098FDEE9" w:rsidR="00B87986" w:rsidRPr="00B87986" w:rsidRDefault="00B87986" w:rsidP="00B87986">
      <w:pPr>
        <w:spacing w:before="120" w:after="120"/>
        <w:rPr>
          <w:rFonts w:ascii="Helvetica" w:hAnsi="Helvetica"/>
          <w:color w:val="595959" w:themeColor="text1" w:themeTint="A6"/>
          <w:sz w:val="21"/>
          <w:szCs w:val="21"/>
        </w:rPr>
      </w:pPr>
      <w:r w:rsidRPr="00B87986">
        <w:rPr>
          <w:rFonts w:ascii="Helvetica" w:hAnsi="Helvetica"/>
          <w:color w:val="595959" w:themeColor="text1" w:themeTint="A6"/>
          <w:sz w:val="21"/>
          <w:szCs w:val="21"/>
        </w:rPr>
        <w:t>Each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community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will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identify outcomes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that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will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develop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students’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ability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work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in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integrated,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competitive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employment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and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ensure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all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students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with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disabilities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have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access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developing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these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skills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prior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to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exiting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high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 w:rsidRPr="00B87986">
        <w:rPr>
          <w:rFonts w:ascii="Helvetica" w:hAnsi="Helvetica"/>
          <w:color w:val="595959" w:themeColor="text1" w:themeTint="A6"/>
          <w:sz w:val="21"/>
          <w:szCs w:val="21"/>
        </w:rPr>
        <w:t>school.</w:t>
      </w:r>
    </w:p>
    <w:p w14:paraId="3E4DEE43" w14:textId="49585774" w:rsidR="0030682F" w:rsidRPr="0030682F" w:rsidRDefault="00B87986" w:rsidP="0030682F">
      <w:p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Completed framework will be used to: </w:t>
      </w:r>
    </w:p>
    <w:p w14:paraId="596BAAE2" w14:textId="6CC24DCE" w:rsidR="00A73A3E" w:rsidRPr="00B87986" w:rsidRDefault="00B87986" w:rsidP="00B87986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Communicate expectations to students, families, employers and community</w:t>
      </w:r>
    </w:p>
    <w:p w14:paraId="28DACB9F" w14:textId="0AE4B147" w:rsidR="00B87986" w:rsidRPr="00B87986" w:rsidRDefault="00B87986" w:rsidP="00B87986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Develop a comprehensive ‘Flow of Services’</w:t>
      </w:r>
    </w:p>
    <w:p w14:paraId="0271985C" w14:textId="1214B371" w:rsidR="00B87986" w:rsidRPr="00B87986" w:rsidRDefault="00B87986" w:rsidP="00B87986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 xml:space="preserve">Develop course content, materials and supportive activities </w:t>
      </w:r>
    </w:p>
    <w:p w14:paraId="08F50923" w14:textId="7B761DB3" w:rsidR="00637F16" w:rsidRPr="001967D4" w:rsidRDefault="00B87986" w:rsidP="0030682F">
      <w:pPr>
        <w:pStyle w:val="ListParagraph"/>
        <w:numPr>
          <w:ilvl w:val="0"/>
          <w:numId w:val="5"/>
        </w:numPr>
        <w:spacing w:before="120" w:after="120"/>
        <w:rPr>
          <w:rFonts w:ascii="Helvetica" w:hAnsi="Helvetica"/>
          <w:color w:val="46A5DC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21"/>
          <w:szCs w:val="21"/>
        </w:rPr>
        <w:t>Ensure that al</w:t>
      </w:r>
      <w:r w:rsidR="00FF7245">
        <w:rPr>
          <w:rFonts w:ascii="Helvetica" w:hAnsi="Helvetica"/>
          <w:color w:val="595959" w:themeColor="text1" w:themeTint="A6"/>
          <w:sz w:val="21"/>
          <w:szCs w:val="21"/>
        </w:rPr>
        <w:t>l students continue to access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skill development necessary in preparation for competitive </w:t>
      </w:r>
      <w:r w:rsidR="00200DD9">
        <w:rPr>
          <w:rFonts w:ascii="Helvetica" w:hAnsi="Helvetica"/>
          <w:color w:val="595959" w:themeColor="text1" w:themeTint="A6"/>
          <w:sz w:val="21"/>
          <w:szCs w:val="21"/>
        </w:rPr>
        <w:t xml:space="preserve">integrated 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employment </w:t>
      </w:r>
    </w:p>
    <w:p w14:paraId="7B2801B1" w14:textId="2299D194" w:rsidR="00ED199C" w:rsidRDefault="00ED199C">
      <w:pPr>
        <w:rPr>
          <w:rFonts w:ascii="Helvetica" w:hAnsi="Helvetica"/>
          <w:b/>
          <w:color w:val="46A5DC"/>
          <w:sz w:val="22"/>
        </w:rPr>
      </w:pPr>
    </w:p>
    <w:tbl>
      <w:tblPr>
        <w:tblStyle w:val="TableGrid"/>
        <w:tblW w:w="13668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  <w:gridCol w:w="2278"/>
        <w:gridCol w:w="2278"/>
      </w:tblGrid>
      <w:tr w:rsidR="00ED199C" w:rsidRPr="00ED199C" w14:paraId="3BDB655C" w14:textId="77777777" w:rsidTr="001967D4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F741A59" w14:textId="567158F8" w:rsidR="00ED199C" w:rsidRPr="00D65743" w:rsidRDefault="001967D4" w:rsidP="00ED199C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Student</w:t>
            </w:r>
            <w:r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Learning</w:t>
            </w:r>
            <w:r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Outcome</w:t>
            </w:r>
            <w:r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(Key Content Area)</w:t>
            </w:r>
            <w:r w:rsidR="00D65743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br/>
            </w:r>
            <w:r w:rsidRPr="001967D4">
              <w:rPr>
                <w:rFonts w:ascii="Helvetica" w:hAnsi="Helvetica"/>
                <w:color w:val="595959" w:themeColor="text1" w:themeTint="A6"/>
                <w:sz w:val="18"/>
                <w:szCs w:val="21"/>
              </w:rPr>
              <w:t>Focused on Competitive Employment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7F98C3A5" w14:textId="77777777" w:rsidR="001967D4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Curricular Content</w:t>
            </w:r>
          </w:p>
          <w:p w14:paraId="22226C6E" w14:textId="073B54D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Skills</w:t>
            </w:r>
          </w:p>
          <w:p w14:paraId="0A327894" w14:textId="6DFBCCBD" w:rsidR="001967D4" w:rsidRP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Activities </w:t>
            </w:r>
          </w:p>
          <w:p w14:paraId="44239343" w14:textId="22F8BC70" w:rsidR="001967D4" w:rsidRPr="00ED199C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A850497" w14:textId="059761B2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When/Where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453B735" w14:textId="7FDAE7BA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Who’s Responsible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697AC4FA" w14:textId="5F298679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 xml:space="preserve">Data Elements 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17DDCDD1" w14:textId="6A7E4E87" w:rsidR="00ED199C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  <w:t>Student Engagement</w:t>
            </w:r>
          </w:p>
        </w:tc>
      </w:tr>
      <w:tr w:rsidR="001967D4" w:rsidRPr="00ED199C" w14:paraId="2D8F1BDE" w14:textId="77777777" w:rsidTr="001967D4"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4FECFBB0" w14:textId="1734A40B" w:rsid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Outcomes that will develop students’ ability to work </w:t>
            </w:r>
            <w:r w:rsidR="005F2537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and be successful 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 integrated competitive employment.</w:t>
            </w:r>
            <w:bookmarkStart w:id="0" w:name="_GoBack"/>
            <w:bookmarkEnd w:id="0"/>
          </w:p>
          <w:p w14:paraId="5A018A92" w14:textId="44F2FAF7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Definitions developed for each content area. 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577D1D69" w14:textId="77777777" w:rsid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Essential learning to achieve the outcome.</w:t>
            </w:r>
          </w:p>
          <w:p w14:paraId="6E6B8E53" w14:textId="77777777" w:rsidR="005F2537" w:rsidRDefault="005F2537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  <w:p w14:paraId="2F3FF26D" w14:textId="43440535" w:rsidR="005F2537" w:rsidRDefault="005F2537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Activities and methods used to teach the identified skill</w:t>
            </w:r>
          </w:p>
          <w:p w14:paraId="082DDC6F" w14:textId="67292644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Identify materials. 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0ADEF06" w14:textId="77777777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When: </w:t>
            </w:r>
          </w:p>
          <w:p w14:paraId="73BE67E0" w14:textId="6B2DC480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During school year</w:t>
            </w:r>
          </w:p>
          <w:p w14:paraId="13544990" w14:textId="2396E212" w:rsidR="005F2537" w:rsidRDefault="005F2537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Summer</w:t>
            </w:r>
          </w:p>
          <w:p w14:paraId="0B8EF035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Which grade</w:t>
            </w:r>
          </w:p>
          <w:p w14:paraId="6554A52D" w14:textId="2816E767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Where: </w:t>
            </w:r>
          </w:p>
          <w:p w14:paraId="6186077C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Core class</w:t>
            </w:r>
          </w:p>
          <w:p w14:paraId="611A4B31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Elective</w:t>
            </w:r>
          </w:p>
          <w:p w14:paraId="4C29DC0E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Sped</w:t>
            </w:r>
          </w:p>
          <w:p w14:paraId="7FBA1CEE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 community</w:t>
            </w:r>
          </w:p>
          <w:p w14:paraId="14366B7A" w14:textId="4DE06261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Connections to: </w:t>
            </w:r>
          </w:p>
          <w:p w14:paraId="1EAA0C85" w14:textId="733577AA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21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  <w:vertAlign w:val="superscript"/>
              </w:rPr>
              <w:t>st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century skills and career pathways </w:t>
            </w:r>
          </w:p>
          <w:p w14:paraId="626E362F" w14:textId="335D8728" w:rsidR="001967D4" w:rsidRP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local flow of services</w:t>
            </w: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715AB29A" w14:textId="77777777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This refers to who will deliver and/or support the skill development in various settings.</w:t>
            </w:r>
          </w:p>
          <w:p w14:paraId="4A2C5456" w14:textId="16582309" w:rsidR="001967D4" w:rsidRDefault="001967D4" w:rsidP="001967D4">
            <w:pPr>
              <w:spacing w:before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May include:  </w:t>
            </w:r>
          </w:p>
          <w:p w14:paraId="21AC3C70" w14:textId="21E6F1CE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after="120"/>
              <w:ind w:left="317" w:hanging="274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General Educator</w:t>
            </w:r>
          </w:p>
          <w:p w14:paraId="67975C51" w14:textId="5FF5A4EE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Special Educator</w:t>
            </w:r>
          </w:p>
          <w:p w14:paraId="0B0447C8" w14:textId="77777777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VR Counselor </w:t>
            </w:r>
          </w:p>
          <w:p w14:paraId="169C2821" w14:textId="746A9A65" w:rsidR="001967D4" w:rsidRDefault="001967D4" w:rsidP="001967D4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2" w:hanging="27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Other service providers </w:t>
            </w:r>
          </w:p>
          <w:p w14:paraId="39219B31" w14:textId="6E08297B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3CB6E9AB" w14:textId="5D411251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How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will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you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know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if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students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are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achieving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the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outcome?</w:t>
            </w:r>
          </w:p>
          <w:p w14:paraId="0F995DCB" w14:textId="5FD7725B" w:rsidR="001967D4" w:rsidRPr="001967D4" w:rsidRDefault="001967D4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Look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data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elements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group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aggregate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to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inform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program/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curriculum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and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individual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student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to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inform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student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progress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="005F2537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and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identify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areas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of</w:t>
            </w: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 </w:t>
            </w:r>
            <w:r w:rsidRPr="001967D4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need</w:t>
            </w:r>
          </w:p>
          <w:p w14:paraId="594B72C7" w14:textId="77777777" w:rsidR="001967D4" w:rsidRPr="001967D4" w:rsidRDefault="001967D4" w:rsidP="001967D4">
            <w:pPr>
              <w:spacing w:before="120" w:after="120"/>
              <w:rPr>
                <w:rFonts w:ascii="Helvetica" w:hAnsi="Helvetica"/>
                <w:b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C0D959"/>
              <w:left w:val="single" w:sz="4" w:space="0" w:color="C0D959"/>
              <w:bottom w:val="single" w:sz="4" w:space="0" w:color="C0D959"/>
              <w:right w:val="single" w:sz="4" w:space="0" w:color="C0D959"/>
            </w:tcBorders>
          </w:tcPr>
          <w:p w14:paraId="2722B2D9" w14:textId="77777777" w:rsidR="001967D4" w:rsidRDefault="00D65743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How do we know if students are engaged in the learning process? Is this different by outcome area? </w:t>
            </w:r>
          </w:p>
          <w:p w14:paraId="3E7F1D2D" w14:textId="576F3782" w:rsidR="00D65743" w:rsidRPr="00D65743" w:rsidRDefault="00D65743" w:rsidP="001967D4">
            <w:pPr>
              <w:spacing w:before="120" w:after="12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Examples: Employer reports, attendance in class, level of involvement in IEP development, student survey </w:t>
            </w:r>
          </w:p>
        </w:tc>
      </w:tr>
    </w:tbl>
    <w:p w14:paraId="4C906860" w14:textId="7933E899" w:rsidR="00ED199C" w:rsidRPr="00A73A3E" w:rsidRDefault="00ED199C" w:rsidP="00A73A3E">
      <w:pPr>
        <w:rPr>
          <w:rFonts w:ascii="Helvetica" w:hAnsi="Helvetica"/>
          <w:b/>
          <w:color w:val="46A5DC"/>
          <w:sz w:val="22"/>
        </w:rPr>
      </w:pPr>
    </w:p>
    <w:sectPr w:rsidR="00ED199C" w:rsidRPr="00A73A3E" w:rsidSect="00117D94">
      <w:pgSz w:w="15840" w:h="12240" w:orient="landscape"/>
      <w:pgMar w:top="1080" w:right="1080" w:bottom="1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50F"/>
    <w:multiLevelType w:val="hybridMultilevel"/>
    <w:tmpl w:val="424A5CE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0E1B462D"/>
    <w:multiLevelType w:val="hybridMultilevel"/>
    <w:tmpl w:val="368AA40C"/>
    <w:lvl w:ilvl="0" w:tplc="2FA0639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F0ABF"/>
    <w:multiLevelType w:val="hybridMultilevel"/>
    <w:tmpl w:val="F34E8DD4"/>
    <w:lvl w:ilvl="0" w:tplc="6720A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95BA9"/>
    <w:multiLevelType w:val="hybridMultilevel"/>
    <w:tmpl w:val="FF00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42A52"/>
    <w:multiLevelType w:val="hybridMultilevel"/>
    <w:tmpl w:val="8BF00836"/>
    <w:lvl w:ilvl="0" w:tplc="2FA0639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17D94"/>
    <w:rsid w:val="001967D4"/>
    <w:rsid w:val="001B63B2"/>
    <w:rsid w:val="00200DD9"/>
    <w:rsid w:val="0030682F"/>
    <w:rsid w:val="00406217"/>
    <w:rsid w:val="004206FB"/>
    <w:rsid w:val="005F2537"/>
    <w:rsid w:val="00637F16"/>
    <w:rsid w:val="006C2AA6"/>
    <w:rsid w:val="008B7D46"/>
    <w:rsid w:val="009026FD"/>
    <w:rsid w:val="0090507B"/>
    <w:rsid w:val="00A73A3E"/>
    <w:rsid w:val="00B43D38"/>
    <w:rsid w:val="00B85EAA"/>
    <w:rsid w:val="00B86AA4"/>
    <w:rsid w:val="00B87986"/>
    <w:rsid w:val="00C3088A"/>
    <w:rsid w:val="00D65743"/>
    <w:rsid w:val="00ED199C"/>
    <w:rsid w:val="00F64C1C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2016-11-30T16:55:00Z</dcterms:created>
  <dcterms:modified xsi:type="dcterms:W3CDTF">2016-11-30T17:10:00Z</dcterms:modified>
</cp:coreProperties>
</file>