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AMC Clinical Knowledge Summary</w:t>
      </w:r>
    </w:p>
    <w:p>
      <w:pPr>
        <w:pStyle w:val="Heading1"/>
      </w:pPr>
      <w:r>
        <w:t>Adult General</w:t>
      </w:r>
    </w:p>
    <w:p>
      <w:pPr>
        <w:pStyle w:val="Heading1"/>
      </w:pPr>
      <w:r>
        <w:t>AMC Part 1 Preparation: High-Yield Clinical Summary (Adult General)</w:t>
      </w:r>
    </w:p>
    <w:p>
      <w:r>
        <w:t>This summary consolidates current clinical recalls and preparation strategies for the Australian Medical Council (AMC) Part 1 Exam. It emphasizes Australian management guidelines and exam-specific logic.</w:t>
      </w:r>
    </w:p>
    <w:p>
      <w:r>
        <w:t>---</w:t>
      </w:r>
    </w:p>
    <w:p>
      <w:pPr>
        <w:pStyle w:val="Heading2"/>
      </w:pPr>
      <w:r>
        <w:t>1. Exam Strategy &amp; Preparation Methodology</w:t>
      </w:r>
    </w:p>
    <w:p>
      <w:pPr>
        <w:pStyle w:val="Heading3"/>
      </w:pPr>
      <w:r>
        <w:t>The "AMC Mindset"</w:t>
      </w:r>
    </w:p>
    <w:p>
      <w:r>
        <w:t xml:space="preserve">*   </w:t>
      </w:r>
      <w:r>
        <w:rPr>
          <w:b/>
        </w:rPr>
        <w:t>Synthesis over Recognition:</w:t>
      </w:r>
      <w:r>
        <w:t xml:space="preserve"> Success requires synthesizing history, physical exams, and investigations. Avoid jumping to "obvious" distractors.</w:t>
      </w:r>
    </w:p>
    <w:p>
      <w:r>
        <w:t xml:space="preserve">*   </w:t>
      </w:r>
      <w:r>
        <w:rPr>
          <w:b/>
        </w:rPr>
        <w:t>The Specific Question:</w:t>
      </w:r>
      <w:r>
        <w:t xml:space="preserve"> Always identify exactly what is being asked (e.g., "Most likely diagnosis" vs. "Next best step" vs. "Gold standard investigation").</w:t>
      </w:r>
    </w:p>
    <w:p>
      <w:r>
        <w:t xml:space="preserve">*   </w:t>
      </w:r>
      <w:r>
        <w:rPr>
          <w:b/>
        </w:rPr>
        <w:t>Recall Strategy:</w:t>
      </w:r>
      <w:r>
        <w:t xml:space="preserve"> Use recalls to identify patterns, then refer to official guidelines to understand *why* a specific answer is correct and why others are incorrect.</w:t>
      </w:r>
    </w:p>
    <w:p>
      <w:pPr>
        <w:pStyle w:val="Heading3"/>
      </w:pPr>
      <w:r>
        <w:t>Essential Resources</w:t>
      </w:r>
    </w:p>
    <w:p>
      <w:r>
        <w:t xml:space="preserve">*   </w:t>
      </w:r>
      <w:r>
        <w:rPr>
          <w:b/>
        </w:rPr>
        <w:t>Primary Guidelines:</w:t>
      </w:r>
      <w:r>
        <w:t xml:space="preserve"> Therapeutic Guidelines (eTG), RACGP (Red Book/Silver Book), RCH (Royal Children’s Hospital), and RANZCOG.</w:t>
      </w:r>
    </w:p>
    <w:p>
      <w:r>
        <w:t xml:space="preserve">*   </w:t>
      </w:r>
      <w:r>
        <w:rPr>
          <w:b/>
        </w:rPr>
        <w:t>Theory &amp; Question Banks:</w:t>
      </w:r>
      <w:r>
        <w:t xml:space="preserve"> *eMedici* (official AMC partner) is highly recommended. John Murtagh’s *General Practice* is excellent for clinical theory but must be cross-referenced with current Australian guidelines for management.</w:t>
      </w:r>
    </w:p>
    <w:p>
      <w:r>
        <w:t xml:space="preserve">*   </w:t>
      </w:r>
      <w:r>
        <w:rPr>
          <w:b/>
        </w:rPr>
        <w:t>The "Bluebook":</w:t>
      </w:r>
      <w:r>
        <w:t xml:space="preserve"> Use the *AMC Handbook of Multiple Choice Questions* to understand exam style, but exercise caution as management guidelines may be outdated.</w:t>
      </w:r>
    </w:p>
    <w:p>
      <w:r>
        <w:t>---</w:t>
      </w:r>
    </w:p>
    <w:p>
      <w:pPr>
        <w:pStyle w:val="Heading2"/>
      </w:pPr>
      <w:r>
        <w:t>2. High-Yield Cardiovascular, Dermatological, &amp; Hematological Topics</w:t>
      </w:r>
    </w:p>
    <w:p>
      <w:pPr>
        <w:pStyle w:val="Heading3"/>
      </w:pPr>
      <w:r>
        <w:t>Cardiology</w:t>
      </w:r>
    </w:p>
    <w:p>
      <w:r>
        <w:t xml:space="preserve">*   </w:t>
      </w:r>
      <w:r>
        <w:rPr>
          <w:b/>
        </w:rPr>
        <w:t>Acute Coronary Syndrome (ACS):</w:t>
      </w:r>
      <w:r>
        <w:t xml:space="preserve"> Management and ECG interpretation.</w:t>
      </w:r>
    </w:p>
    <w:p>
      <w:r>
        <w:t xml:space="preserve">*   </w:t>
      </w:r>
      <w:r>
        <w:rPr>
          <w:b/>
        </w:rPr>
        <w:t>Arrhythmias:</w:t>
      </w:r>
      <w:r>
        <w:t xml:space="preserve"> Recognition and treatment of SVT, VT, and Atrial Fibrillation (AF).</w:t>
      </w:r>
    </w:p>
    <w:p>
      <w:r>
        <w:t xml:space="preserve">*   </w:t>
      </w:r>
      <w:r>
        <w:rPr>
          <w:b/>
        </w:rPr>
        <w:t>Inflammatory/Infectious:</w:t>
      </w:r>
      <w:r>
        <w:t xml:space="preserve"> Pericarditis and Infective Endocarditis.</w:t>
      </w:r>
    </w:p>
    <w:p>
      <w:r>
        <w:t xml:space="preserve">*   </w:t>
      </w:r>
      <w:r>
        <w:rPr>
          <w:b/>
        </w:rPr>
        <w:t>Heart Failure (HF):</w:t>
      </w:r>
      <w:r>
        <w:t xml:space="preserve"> Chronic management and CVD risk assessment.</w:t>
      </w:r>
    </w:p>
    <w:p>
      <w:pPr>
        <w:pStyle w:val="Heading3"/>
      </w:pPr>
      <w:r>
        <w:t>Dermatology</w:t>
      </w:r>
    </w:p>
    <w:p>
      <w:r>
        <w:t xml:space="preserve">*   </w:t>
      </w:r>
      <w:r>
        <w:rPr>
          <w:b/>
        </w:rPr>
        <w:t>Malignancy:</w:t>
      </w:r>
      <w:r>
        <w:t xml:space="preserve"> BCC (first-line: surgical excision with margins), SCC, and Melanoma.</w:t>
      </w:r>
    </w:p>
    <w:p>
      <w:r>
        <w:t xml:space="preserve">*   </w:t>
      </w:r>
      <w:r>
        <w:rPr>
          <w:b/>
        </w:rPr>
        <w:t>Infections:</w:t>
      </w:r>
      <w:r>
        <w:t xml:space="preserve"> Impetigo, Scabies, Cellulitis, Tinea, and Molluscum Contagiosum.</w:t>
      </w:r>
    </w:p>
    <w:p>
      <w:r>
        <w:t xml:space="preserve">*   </w:t>
      </w:r>
      <w:r>
        <w:rPr>
          <w:b/>
        </w:rPr>
        <w:t>Inflammatory:</w:t>
      </w:r>
      <w:r>
        <w:t xml:space="preserve"> Psoriasis and various forms of Dermatitis (e.g., Diaper dermatitis: look for satellite lesions in Candida).</w:t>
      </w:r>
    </w:p>
    <w:p>
      <w:r>
        <w:t xml:space="preserve">*   </w:t>
      </w:r>
      <w:r>
        <w:rPr>
          <w:b/>
        </w:rPr>
        <w:t>Alopecia:</w:t>
      </w:r>
      <w:r>
        <w:t xml:space="preserve"> Distinguishing Alopecia Areata, Telogen Effluvium, and Trichotillomania.</w:t>
      </w:r>
    </w:p>
    <w:p>
      <w:pPr>
        <w:pStyle w:val="Heading3"/>
      </w:pPr>
      <w:r>
        <w:t>Hematology</w:t>
      </w:r>
    </w:p>
    <w:p>
      <w:r>
        <w:t xml:space="preserve">*   </w:t>
      </w:r>
      <w:r>
        <w:rPr>
          <w:b/>
        </w:rPr>
        <w:t>Anemias:</w:t>
      </w:r>
      <w:r>
        <w:t xml:space="preserve"> Iron Deficiency (IDA) and B12 deficiency.</w:t>
      </w:r>
    </w:p>
    <w:p>
      <w:r>
        <w:t xml:space="preserve">*   </w:t>
      </w:r>
      <w:r>
        <w:rPr>
          <w:b/>
        </w:rPr>
        <w:t>Bleeding Disorders:</w:t>
      </w:r>
      <w:r>
        <w:t xml:space="preserve"> ITP vs. TTP, Hemophilia, and Von Willebrand Disease (VWD).</w:t>
      </w:r>
    </w:p>
    <w:p>
      <w:r>
        <w:t xml:space="preserve">*   </w:t>
      </w:r>
      <w:r>
        <w:rPr>
          <w:b/>
        </w:rPr>
        <w:t>Malignancy:</w:t>
      </w:r>
      <w:r>
        <w:t xml:space="preserve"> Multiple Myeloma.</w:t>
      </w:r>
    </w:p>
    <w:p>
      <w:r>
        <w:t>---</w:t>
      </w:r>
    </w:p>
    <w:p>
      <w:pPr>
        <w:pStyle w:val="Heading2"/>
      </w:pPr>
      <w:r>
        <w:t>3. Renal Medicine &amp; Urology</w:t>
      </w:r>
    </w:p>
    <w:p>
      <w:pPr>
        <w:pStyle w:val="Heading3"/>
      </w:pPr>
      <w:r>
        <w:t>Acute &amp; Chronic Kidney Disease</w:t>
      </w:r>
    </w:p>
    <w:p>
      <w:r>
        <w:t xml:space="preserve">*   </w:t>
      </w:r>
      <w:r>
        <w:rPr>
          <w:b/>
        </w:rPr>
        <w:t>AKI:</w:t>
      </w:r>
      <w:r>
        <w:t xml:space="preserve"> Focus on classification (Pre-renal, Intrinsic, Post-renal), KDIGO staging, and fluid management while avoiding nephrotoxins.</w:t>
      </w:r>
    </w:p>
    <w:p>
      <w:r>
        <w:t xml:space="preserve">*   </w:t>
      </w:r>
      <w:r>
        <w:rPr>
          <w:b/>
        </w:rPr>
        <w:t>CKD:</w:t>
      </w:r>
      <w:r>
        <w:t xml:space="preserve"> Staging based on eGFR and albuminuria; managing complications (anemia, mineral bone disease); and identifying referral criteria for nephrologists.</w:t>
      </w:r>
    </w:p>
    <w:p>
      <w:pPr>
        <w:pStyle w:val="Heading3"/>
      </w:pPr>
      <w:r>
        <w:t>Electrolytes &amp; Hypertension</w:t>
      </w:r>
    </w:p>
    <w:p>
      <w:r>
        <w:t xml:space="preserve">*   </w:t>
      </w:r>
      <w:r>
        <w:rPr>
          <w:b/>
        </w:rPr>
        <w:t>Hyponatremia:</w:t>
      </w:r>
      <w:r>
        <w:t xml:space="preserve"> Classification and SIADH management.</w:t>
      </w:r>
    </w:p>
    <w:p>
      <w:r>
        <w:t xml:space="preserve">*   </w:t>
      </w:r>
      <w:r>
        <w:rPr>
          <w:b/>
        </w:rPr>
        <w:t>Hyperkalemia:</w:t>
      </w:r>
      <w:r>
        <w:t xml:space="preserve"> Recognition of ECG changes and emergency stabilization.</w:t>
      </w:r>
    </w:p>
    <w:p>
      <w:r>
        <w:t xml:space="preserve">*   </w:t>
      </w:r>
      <w:r>
        <w:rPr>
          <w:b/>
        </w:rPr>
        <w:t>Hypertension:</w:t>
      </w:r>
      <w:r>
        <w:t xml:space="preserve"> Investigating secondary causes (e.g., Renal Artery Stenosis) and managing hypertensive emergencies.</w:t>
      </w:r>
    </w:p>
    <w:p>
      <w:pPr>
        <w:pStyle w:val="Heading3"/>
      </w:pPr>
      <w:r>
        <w:t>Urinary Tract Infections (UTI)</w:t>
      </w:r>
    </w:p>
    <w:p>
      <w:r>
        <w:t xml:space="preserve">*   </w:t>
      </w:r>
      <w:r>
        <w:rPr>
          <w:b/>
        </w:rPr>
        <w:t>UTI in Pregnancy:</w:t>
      </w:r>
      <w:r>
        <w:t xml:space="preserve"> Nitrofurantoin is first-line (avoid near term/3rd trimester due to neonatal hemolysis risk).</w:t>
      </w:r>
    </w:p>
    <w:p>
      <w:r>
        <w:t xml:space="preserve">*   </w:t>
      </w:r>
      <w:r>
        <w:rPr>
          <w:b/>
        </w:rPr>
        <w:t>Recurrent UTIs:</w:t>
      </w:r>
      <w:r>
        <w:t xml:space="preserve"> Focus on investigation and prevention strategies.</w:t>
      </w:r>
    </w:p>
    <w:p>
      <w:r>
        <w:t>---</w:t>
      </w:r>
    </w:p>
    <w:p>
      <w:pPr>
        <w:pStyle w:val="Heading2"/>
      </w:pPr>
      <w:r>
        <w:t>4. Rheumatology: SLE &amp; Rheumatoid Arthritis</w:t>
      </w:r>
    </w:p>
    <w:p>
      <w:pPr>
        <w:pStyle w:val="Heading3"/>
      </w:pPr>
      <w:r>
        <w:t>Systemic Lupus Erythematosus (SLE)</w:t>
      </w:r>
    </w:p>
    <w:p>
      <w:r>
        <w:t xml:space="preserve">*   </w:t>
      </w:r>
      <w:r>
        <w:rPr>
          <w:b/>
        </w:rPr>
        <w:t>Clinical Clues:</w:t>
      </w:r>
      <w:r>
        <w:t xml:space="preserve"> Malar/discoid rash, photosensitivity, oral ulcers, arthritis, serositis, and cytopenias.</w:t>
      </w:r>
    </w:p>
    <w:p>
      <w:r>
        <w:t xml:space="preserve">*   </w:t>
      </w:r>
      <w:r>
        <w:rPr>
          <w:b/>
        </w:rPr>
        <w:t>Serology:</w:t>
      </w:r>
      <w:r>
        <w:t xml:space="preserve"> ANA (screening), Anti-dsDNA, and Anti-Smith (specific).</w:t>
      </w:r>
    </w:p>
    <w:p>
      <w:r>
        <w:t xml:space="preserve">*   </w:t>
      </w:r>
      <w:r>
        <w:rPr>
          <w:b/>
        </w:rPr>
        <w:t>Baseline Management:</w:t>
      </w:r>
      <w:r>
        <w:t xml:space="preserve"> Hydroxychloroquine.</w:t>
      </w:r>
    </w:p>
    <w:p>
      <w:pPr>
        <w:pStyle w:val="Heading3"/>
      </w:pPr>
      <w:r>
        <w:t>Rheumatoid Arthritis (RA) Prognosis</w:t>
      </w:r>
    </w:p>
    <w:p>
      <w:r/>
      <w:r>
        <w:rPr>
          <w:b/>
        </w:rPr>
        <w:t>Poor Prognostic Indicators:</w:t>
      </w:r>
      <w:r/>
    </w:p>
    <w:p>
      <w:r>
        <w:t xml:space="preserve">1.  </w:t>
      </w:r>
      <w:r>
        <w:rPr>
          <w:b/>
        </w:rPr>
        <w:t>Anti-CCP positivity</w:t>
      </w:r>
      <w:r>
        <w:t xml:space="preserve"> (most significant factor).</w:t>
      </w:r>
    </w:p>
    <w:p>
      <w:r>
        <w:t>2.  Rheumatoid Factor (RF) positivity.</w:t>
      </w:r>
    </w:p>
    <w:p>
      <w:r>
        <w:t>3.  Presence of HLA-DR4.</w:t>
      </w:r>
    </w:p>
    <w:p>
      <w:r>
        <w:t>4.  Insidious onset.</w:t>
      </w:r>
    </w:p>
    <w:p>
      <w:r>
        <w:t>5.  Early X-ray evidence of articular erosions (&lt;2 years).</w:t>
      </w:r>
    </w:p>
    <w:p>
      <w:r>
        <w:t>6.  Extra-articular features (e.g., nodules).</w:t>
      </w:r>
    </w:p>
    <w:p>
      <w:r>
        <w:t>7.  Female sex and poor functional status at presentation.</w:t>
      </w:r>
    </w:p>
    <w:p>
      <w:r>
        <w:t>---</w:t>
      </w:r>
    </w:p>
    <w:p>
      <w:pPr>
        <w:pStyle w:val="Heading2"/>
      </w:pPr>
      <w:r>
        <w:t>5. Specialty Clinical Pearls</w:t>
      </w:r>
    </w:p>
    <w:p>
      <w:pPr>
        <w:pStyle w:val="Heading3"/>
      </w:pPr>
      <w:r>
        <w:t>Breast Pathology: Benign vs. Malignant</w:t>
      </w:r>
    </w:p>
    <w:p>
      <w:r>
        <w:t xml:space="preserve">*   </w:t>
      </w:r>
      <w:r>
        <w:rPr>
          <w:b/>
        </w:rPr>
        <w:t>Benign (e.g., Fibroadenoma, Cysts):</w:t>
      </w:r>
      <w:r>
        <w:t xml:space="preserve"> Well-circumscribed, mobile, smooth, round, often painful or tender.</w:t>
      </w:r>
    </w:p>
    <w:p>
      <w:r>
        <w:t xml:space="preserve">*   </w:t>
      </w:r>
      <w:r>
        <w:rPr>
          <w:b/>
        </w:rPr>
        <w:t>Malignant:</w:t>
      </w:r>
      <w:r>
        <w:t xml:space="preserve"> Irregular, hard, fixed, painless, skin tethering, or *peau d'orange*.</w:t>
      </w:r>
    </w:p>
    <w:p>
      <w:r>
        <w:t xml:space="preserve">*   </w:t>
      </w:r>
      <w:r>
        <w:rPr>
          <w:b/>
        </w:rPr>
        <w:t>Note:</w:t>
      </w:r>
      <w:r>
        <w:t xml:space="preserve"> In the AMC exam, the physical description in the vignette overrides the patient's age.</w:t>
      </w:r>
    </w:p>
    <w:p>
      <w:pPr>
        <w:pStyle w:val="Heading3"/>
      </w:pPr>
      <w:r>
        <w:t>Surgery &amp; Emergency</w:t>
      </w:r>
    </w:p>
    <w:p>
      <w:r>
        <w:t xml:space="preserve">*   </w:t>
      </w:r>
      <w:r>
        <w:rPr>
          <w:b/>
        </w:rPr>
        <w:t>Abdominal Aortic Aneurysm (AAA):</w:t>
      </w:r>
      <w:r>
        <w:t xml:space="preserve"> Elective repair indicated if &gt;5.5 cm or growing &gt;1 cm/year.</w:t>
      </w:r>
    </w:p>
    <w:p>
      <w:r>
        <w:t xml:space="preserve">*   </w:t>
      </w:r>
      <w:r>
        <w:rPr>
          <w:b/>
        </w:rPr>
        <w:t>Small Bowel Obstruction:</w:t>
      </w:r>
      <w:r>
        <w:t xml:space="preserve"> In elderly patients with AF and groin tenderness, suspect Richter’s hernia.</w:t>
      </w:r>
    </w:p>
    <w:p>
      <w:r>
        <w:t xml:space="preserve">*   </w:t>
      </w:r>
      <w:r>
        <w:rPr>
          <w:b/>
        </w:rPr>
        <w:t>Hip Fracture (Dementia):</w:t>
      </w:r>
      <w:r>
        <w:t xml:space="preserve"> Aim for early mobilization; internal fixation is often the preferred surgical approach.</w:t>
      </w:r>
    </w:p>
    <w:p>
      <w:r>
        <w:t xml:space="preserve">*   </w:t>
      </w:r>
      <w:r>
        <w:rPr>
          <w:b/>
        </w:rPr>
        <w:t>Head Trauma:</w:t>
      </w:r>
      <w:r>
        <w:t xml:space="preserve"> Chronic Subdural Hematoma presents with confusion/personality changes weeks after minor trauma in the elderly.</w:t>
      </w:r>
    </w:p>
    <w:p>
      <w:pPr>
        <w:pStyle w:val="Heading3"/>
      </w:pPr>
      <w:r>
        <w:t>Psychiatry &amp; Development</w:t>
      </w:r>
    </w:p>
    <w:p>
      <w:r>
        <w:t xml:space="preserve">*   </w:t>
      </w:r>
      <w:r>
        <w:rPr>
          <w:b/>
        </w:rPr>
        <w:t>Schizophrenia:</w:t>
      </w:r>
      <w:r>
        <w:t xml:space="preserve"> New-onset psychosis (disorganized behavior/delusions) in young adults, even those with intellectual disabilities.</w:t>
      </w:r>
    </w:p>
    <w:p>
      <w:r>
        <w:t xml:space="preserve">*   </w:t>
      </w:r>
      <w:r>
        <w:rPr>
          <w:b/>
        </w:rPr>
        <w:t>ASD vs. ODD:</w:t>
      </w:r>
      <w:r>
        <w:t xml:space="preserve"> Autism (ASD) requires social communication deficits and repetitive behaviors; Oppositional Defiant Disorder (ODD) is characterized by defiance/hostility.</w:t>
      </w:r>
    </w:p>
    <w:p>
      <w:r>
        <w:t xml:space="preserve">*   </w:t>
      </w:r>
      <w:r>
        <w:rPr>
          <w:b/>
        </w:rPr>
        <w:t>Anxiety Comorbidity:</w:t>
      </w:r>
      <w:r>
        <w:t xml:space="preserve"> Panic attacks in a patient with Schizophrenia may require an SSRI (e.g., Sertraline) in addition to antipsychotics.</w:t>
      </w:r>
    </w:p>
    <w:p>
      <w:r>
        <w:t>---</w:t>
      </w:r>
    </w:p>
    <w:p>
      <w:pPr>
        <w:pStyle w:val="Heading2"/>
      </w:pPr>
      <w:r>
        <w:t>6. High-Yield Pharmacology (Drug-Adverse Effect Associations)</w:t>
      </w:r>
    </w:p>
    <w:p>
      <w:r>
        <w:t>| Drug | Key Adverse Effect |</w:t>
      </w:r>
    </w:p>
    <w:p>
      <w:r>
        <w:t>| :--- | :--- |</w:t>
      </w:r>
    </w:p>
    <w:p>
      <w:r>
        <w:t xml:space="preserve">| </w:t>
      </w:r>
      <w:r>
        <w:rPr>
          <w:b/>
        </w:rPr>
        <w:t>Amiodarone</w:t>
      </w:r>
      <w:r>
        <w:t xml:space="preserve"> | Pulmonary fibrosis |</w:t>
      </w:r>
    </w:p>
    <w:p>
      <w:r>
        <w:t xml:space="preserve">| </w:t>
      </w:r>
      <w:r>
        <w:rPr>
          <w:b/>
        </w:rPr>
        <w:t>Clozapine</w:t>
      </w:r>
      <w:r>
        <w:t xml:space="preserve"> | Agranulocytosis (requires FBC monitoring) |</w:t>
      </w:r>
    </w:p>
    <w:p>
      <w:r>
        <w:t xml:space="preserve">| </w:t>
      </w:r>
      <w:r>
        <w:rPr>
          <w:b/>
        </w:rPr>
        <w:t>Cyclophosphamide</w:t>
      </w:r>
      <w:r>
        <w:t xml:space="preserve"> | Hemorrhagic cystitis |</w:t>
      </w:r>
    </w:p>
    <w:p>
      <w:r>
        <w:t xml:space="preserve">| </w:t>
      </w:r>
      <w:r>
        <w:rPr>
          <w:b/>
        </w:rPr>
        <w:t>Dapsone</w:t>
      </w:r>
      <w:r>
        <w:t xml:space="preserve"> | Methemoglobinemia |</w:t>
      </w:r>
    </w:p>
    <w:p>
      <w:r>
        <w:t xml:space="preserve">| </w:t>
      </w:r>
      <w:r>
        <w:rPr>
          <w:b/>
        </w:rPr>
        <w:t>Fluoroquinolones</w:t>
      </w:r>
      <w:r>
        <w:t xml:space="preserve"> | Tendon rupture |</w:t>
      </w:r>
    </w:p>
    <w:p>
      <w:r>
        <w:t xml:space="preserve">| </w:t>
      </w:r>
      <w:r>
        <w:rPr>
          <w:b/>
        </w:rPr>
        <w:t>Isoniazid</w:t>
      </w:r>
      <w:r>
        <w:t xml:space="preserve"> | Peripheral neuropathy (prevent with B6) |</w:t>
      </w:r>
    </w:p>
    <w:p>
      <w:r>
        <w:t xml:space="preserve">| </w:t>
      </w:r>
      <w:r>
        <w:rPr>
          <w:b/>
        </w:rPr>
        <w:t>Lithium</w:t>
      </w:r>
      <w:r>
        <w:t xml:space="preserve"> | Nephrogenic diabetes insipidus |</w:t>
      </w:r>
    </w:p>
    <w:p>
      <w:r>
        <w:t xml:space="preserve">| </w:t>
      </w:r>
      <w:r>
        <w:rPr>
          <w:b/>
        </w:rPr>
        <w:t>Methotrexate</w:t>
      </w:r>
      <w:r>
        <w:t xml:space="preserve"> | Pancytopenia |</w:t>
      </w:r>
    </w:p>
    <w:p>
      <w:r>
        <w:t xml:space="preserve">| </w:t>
      </w:r>
      <w:r>
        <w:rPr>
          <w:b/>
        </w:rPr>
        <w:t>Rifampicin</w:t>
      </w:r>
      <w:r>
        <w:t xml:space="preserve"> | Orange discoloration of body fluids |</w:t>
      </w:r>
    </w:p>
    <w:p>
      <w:r>
        <w:t xml:space="preserve">| </w:t>
      </w:r>
      <w:r>
        <w:rPr>
          <w:b/>
        </w:rPr>
        <w:t>Vancomycin</w:t>
      </w:r>
      <w:r>
        <w:t xml:space="preserve"> | Red man syndrome |</w:t>
      </w:r>
    </w:p>
    <w:p>
      <w:r>
        <w:t>---</w:t>
      </w:r>
    </w:p>
    <w:p>
      <w:pPr>
        <w:pStyle w:val="Heading2"/>
      </w:pPr>
      <w:r>
        <w:t>7. Supportive Care: Thick Tenacious Saliva</w:t>
      </w:r>
    </w:p>
    <w:p>
      <w:r>
        <w:t>Management includes:</w:t>
      </w:r>
    </w:p>
    <w:p>
      <w:r>
        <w:t>*   Optimization of hydration.</w:t>
      </w:r>
    </w:p>
    <w:p>
      <w:r>
        <w:t xml:space="preserve">*   Oral/PEG administration of </w:t>
      </w:r>
      <w:r>
        <w:rPr>
          <w:b/>
        </w:rPr>
        <w:t>dark grape juice</w:t>
      </w:r>
      <w:r>
        <w:t xml:space="preserve"> (200 mL BD).</w:t>
      </w:r>
    </w:p>
    <w:p>
      <w:r>
        <w:t>*   Nebulized 0.9% sodium chloride.</w:t>
      </w:r>
    </w:p>
    <w:p>
      <w:r>
        <w:t>*   Room humidification.</w:t>
      </w:r>
    </w:p>
    <w:p>
      <w:pPr>
        <w:pStyle w:val="Heading1"/>
      </w:pPr>
      <w:r>
        <w:t>Cardiology</w:t>
      </w:r>
    </w:p>
    <w:p>
      <w:pPr>
        <w:pStyle w:val="Heading1"/>
      </w:pPr>
      <w:r>
        <w:t>**Cardiology Clinical Review: High-Yield Essentials for the AMC Exam**</w:t>
      </w:r>
    </w:p>
    <w:p>
      <w:pPr>
        <w:pStyle w:val="Heading2"/>
      </w:pPr>
      <w:r>
        <w:t>**I. Atrial Fibrillation (AF) &amp; Stroke Prevention**</w:t>
      </w:r>
    </w:p>
    <w:p>
      <w:pPr>
        <w:pStyle w:val="Heading3"/>
      </w:pPr>
      <w:r>
        <w:t>**1. Management of New-Onset AF**</w:t>
      </w:r>
    </w:p>
    <w:p>
      <w:r>
        <w:t>In hemodynamically stable patients with new-onset AF, management follows a hierarchical priority:</w:t>
      </w:r>
    </w:p>
    <w:p>
      <w:r>
        <w:t xml:space="preserve">*   </w:t>
      </w:r>
      <w:r>
        <w:rPr>
          <w:b/>
        </w:rPr>
        <w:t>Rate Control:</w:t>
      </w:r>
      <w:r>
        <w:t xml:space="preserve"> Indicated for symptomatic patients (palpitations) or rapid ventricular rate (&gt;110 bpm). Beta-blockers (e.g., metoprolol) are first-line. If the rate is already controlled and the patient is asymptomatic, immediate rate control is </w:t>
      </w:r>
      <w:r>
        <w:rPr>
          <w:b/>
        </w:rPr>
        <w:t>not</w:t>
      </w:r>
      <w:r>
        <w:t xml:space="preserve"> required.</w:t>
      </w:r>
    </w:p>
    <w:p>
      <w:r>
        <w:t xml:space="preserve">*   </w:t>
      </w:r>
      <w:r>
        <w:rPr>
          <w:b/>
        </w:rPr>
        <w:t>Stroke Prevention:</w:t>
      </w:r>
      <w:r>
        <w:t xml:space="preserve"> This is the priority. Always calculate the </w:t>
      </w:r>
      <w:r>
        <w:rPr>
          <w:b/>
        </w:rPr>
        <w:t>CHA₂DS₂-VASc</w:t>
      </w:r>
      <w:r>
        <w:t xml:space="preserve"> score.</w:t>
      </w:r>
    </w:p>
    <w:p>
      <w:r>
        <w:t xml:space="preserve">*   </w:t>
      </w:r>
      <w:r>
        <w:rPr>
          <w:b/>
        </w:rPr>
        <w:t>Score 0 (Men) / 1 (Women):</w:t>
      </w:r>
      <w:r>
        <w:t xml:space="preserve"> No anticoagulation required.</w:t>
      </w:r>
    </w:p>
    <w:p>
      <w:r>
        <w:t xml:space="preserve">*   </w:t>
      </w:r>
      <w:r>
        <w:rPr>
          <w:b/>
        </w:rPr>
        <w:t>Score ≥2 (Men) / ≥3 (Women):</w:t>
      </w:r>
      <w:r>
        <w:t xml:space="preserve"> Oral Anticoagulation (OAC) required.</w:t>
      </w:r>
    </w:p>
    <w:p>
      <w:r>
        <w:t xml:space="preserve">*   </w:t>
      </w:r>
      <w:r>
        <w:rPr>
          <w:b/>
        </w:rPr>
        <w:t>First-Line Anticoagulation:</w:t>
      </w:r>
      <w:r>
        <w:t xml:space="preserve"> Direct Oral Anticoagulants (DOACs) like apixaban or rivaroxaban. Warfarin is reserved for mechanical valves or moderate-to-severe mitral stenosis.</w:t>
      </w:r>
    </w:p>
    <w:p>
      <w:r>
        <w:t xml:space="preserve">*   </w:t>
      </w:r>
      <w:r>
        <w:rPr>
          <w:b/>
        </w:rPr>
        <w:t>The Role of Aspirin:</w:t>
      </w:r>
      <w:r>
        <w:t xml:space="preserve"> Aspirin is </w:t>
      </w:r>
      <w:r>
        <w:rPr>
          <w:b/>
        </w:rPr>
        <w:t>obsolete</w:t>
      </w:r>
      <w:r>
        <w:t xml:space="preserve"> for stroke prevention in AF. It offers minimal protection and carries a bleeding risk similar to OACs. In exams, aspirin is often a distractor.</w:t>
      </w:r>
    </w:p>
    <w:p>
      <w:r>
        <w:t xml:space="preserve">*   </w:t>
      </w:r>
      <w:r>
        <w:rPr>
          <w:b/>
        </w:rPr>
        <w:t>Initial Investigation:</w:t>
      </w:r>
      <w:r>
        <w:t xml:space="preserve"> A </w:t>
      </w:r>
      <w:r>
        <w:rPr>
          <w:b/>
        </w:rPr>
        <w:t>Transthoracic Echocardiogram (TTE)</w:t>
      </w:r>
      <w:r>
        <w:t xml:space="preserve"> is mandatory in new AF to evaluate for structural disease (valvular pathology, cardiomyopathy) and thrombus.</w:t>
      </w:r>
    </w:p>
    <w:p>
      <w:pPr>
        <w:pStyle w:val="Heading3"/>
      </w:pPr>
      <w:r>
        <w:t>**2. Aspirin in Primary Prevention**</w:t>
      </w:r>
    </w:p>
    <w:p>
      <w:r>
        <w:t xml:space="preserve">*   </w:t>
      </w:r>
      <w:r>
        <w:rPr>
          <w:b/>
        </w:rPr>
        <w:t>General Rule:</w:t>
      </w:r>
      <w:r>
        <w:t xml:space="preserve"> Aspirin is </w:t>
      </w:r>
      <w:r>
        <w:rPr>
          <w:b/>
        </w:rPr>
        <w:t>not recommended</w:t>
      </w:r>
      <w:r>
        <w:t xml:space="preserve"> for the primary prevention of Cardiovascular Disease (CVD) in asymptomatic patients without established CVD.</w:t>
      </w:r>
    </w:p>
    <w:p>
      <w:r>
        <w:t xml:space="preserve">*   </w:t>
      </w:r>
      <w:r>
        <w:rPr>
          <w:b/>
        </w:rPr>
        <w:t>Guidelines (NICE/RACGP):</w:t>
      </w:r>
      <w:r>
        <w:t xml:space="preserve"> Emphasize risk factor modification (statin, BP control) over aspirin.</w:t>
      </w:r>
    </w:p>
    <w:p>
      <w:r>
        <w:t xml:space="preserve">*   </w:t>
      </w:r>
      <w:r>
        <w:rPr>
          <w:b/>
        </w:rPr>
        <w:t>Selective Use (ACC/AHA):</w:t>
      </w:r>
      <w:r>
        <w:t xml:space="preserve"> May be considered in adults 40–70 years with very high ASCVD risk (&gt;10%) and very low bleeding risk, following shared decision-making.</w:t>
      </w:r>
    </w:p>
    <w:p>
      <w:r>
        <w:t>---</w:t>
      </w:r>
    </w:p>
    <w:p>
      <w:pPr>
        <w:pStyle w:val="Heading2"/>
      </w:pPr>
      <w:r>
        <w:t>**II. Hypertension &amp; Pharmacotherapy**</w:t>
      </w:r>
    </w:p>
    <w:p>
      <w:pPr>
        <w:pStyle w:val="Heading3"/>
      </w:pPr>
      <w:r>
        <w:t>**1. First-Line Agent Selection by Comorbidity**</w:t>
      </w:r>
    </w:p>
    <w:p>
      <w:r>
        <w:t xml:space="preserve">*   </w:t>
      </w:r>
      <w:r>
        <w:rPr>
          <w:b/>
        </w:rPr>
        <w:t>Uncomplicated / CKD / Diabetes:</w:t>
      </w:r>
      <w:r>
        <w:t xml:space="preserve"> ACE Inhibitor (ACEi) or Angiotensin Receptor Blocker (ARB).</w:t>
      </w:r>
    </w:p>
    <w:p>
      <w:r>
        <w:t xml:space="preserve">*   </w:t>
      </w:r>
      <w:r>
        <w:rPr>
          <w:b/>
        </w:rPr>
        <w:t>Post-MI / Heart Failure:</w:t>
      </w:r>
      <w:r>
        <w:t xml:space="preserve"> ACEi + Beta-blocker.</w:t>
      </w:r>
    </w:p>
    <w:p>
      <w:r>
        <w:t xml:space="preserve">*   </w:t>
      </w:r>
      <w:r>
        <w:rPr>
          <w:b/>
        </w:rPr>
        <w:t>Pregnancy:</w:t>
      </w:r>
      <w:r>
        <w:t xml:space="preserve"> Labetalol, Methyldopa, or Nifedipine (</w:t>
      </w:r>
      <w:r>
        <w:rPr>
          <w:b/>
        </w:rPr>
        <w:t>Avoid ACEi/ARBs due to teratogenicity</w:t>
      </w:r>
      <w:r>
        <w:t>).</w:t>
      </w:r>
    </w:p>
    <w:p>
      <w:r>
        <w:t xml:space="preserve">*   </w:t>
      </w:r>
      <w:r>
        <w:rPr>
          <w:b/>
        </w:rPr>
        <w:t>BPH:</w:t>
      </w:r>
      <w:r>
        <w:t xml:space="preserve"> Alpha-blocker (Prazosin).</w:t>
      </w:r>
    </w:p>
    <w:p>
      <w:r>
        <w:t xml:space="preserve">*   </w:t>
      </w:r>
      <w:r>
        <w:rPr>
          <w:b/>
        </w:rPr>
        <w:t>Migraine / Essential Tremor:</w:t>
      </w:r>
      <w:r>
        <w:t xml:space="preserve"> Beta-blocker (Propranolol).</w:t>
      </w:r>
    </w:p>
    <w:p>
      <w:pPr>
        <w:pStyle w:val="Heading3"/>
      </w:pPr>
      <w:r>
        <w:t>**2. Key Contraindications**</w:t>
      </w:r>
    </w:p>
    <w:p>
      <w:r>
        <w:t xml:space="preserve">*   </w:t>
      </w:r>
      <w:r>
        <w:rPr>
          <w:b/>
        </w:rPr>
        <w:t>ACEi/ARBs:</w:t>
      </w:r>
      <w:r>
        <w:t xml:space="preserve"> Pregnancy, bilateral renal artery stenosis, hyperkalemia, history of angioedema.</w:t>
      </w:r>
    </w:p>
    <w:p>
      <w:r>
        <w:t xml:space="preserve">*   </w:t>
      </w:r>
      <w:r>
        <w:rPr>
          <w:b/>
        </w:rPr>
        <w:t>Beta-Blockers:</w:t>
      </w:r>
      <w:r>
        <w:t xml:space="preserve"> Asthma, 2nd/3rd-degree heart block, severe bradycardia, acute decompensated heart failure.</w:t>
      </w:r>
    </w:p>
    <w:p>
      <w:r>
        <w:t xml:space="preserve">*   </w:t>
      </w:r>
      <w:r>
        <w:rPr>
          <w:b/>
        </w:rPr>
        <w:t>Thiazide Diuretics:</w:t>
      </w:r>
      <w:r>
        <w:t xml:space="preserve"> Gout, severe hyponatremia.</w:t>
      </w:r>
    </w:p>
    <w:p>
      <w:pPr>
        <w:pStyle w:val="Heading3"/>
      </w:pPr>
      <w:r>
        <w:t>**3. Blood Pressure Targets**</w:t>
      </w:r>
    </w:p>
    <w:p>
      <w:r>
        <w:t xml:space="preserve">*   </w:t>
      </w:r>
      <w:r>
        <w:rPr>
          <w:b/>
        </w:rPr>
        <w:t>General/Diabetes/CKD:</w:t>
      </w:r>
      <w:r>
        <w:t xml:space="preserve"> </w:t>
      </w:r>
      <w:r>
        <w:rPr>
          <w:b/>
        </w:rPr>
        <w:t>&lt;130/80 mmHg</w:t>
      </w:r>
      <w:r>
        <w:t xml:space="preserve"> is the standard AMC exam target for high-risk patients to reduce renal and cardiovascular outcomes.</w:t>
      </w:r>
    </w:p>
    <w:p>
      <w:r>
        <w:t>*   *Note:* Some recent trials suggest &lt;120 mmHg for very high-risk non-diabetic patients, but &lt;130/80 remains the conservative consensus for exams.</w:t>
      </w:r>
    </w:p>
    <w:p>
      <w:r>
        <w:t>---</w:t>
      </w:r>
    </w:p>
    <w:p>
      <w:pPr>
        <w:pStyle w:val="Heading2"/>
      </w:pPr>
      <w:r>
        <w:t>**III. Arrhythmias &amp; Conduction Abnormalities**</w:t>
      </w:r>
    </w:p>
    <w:p>
      <w:pPr>
        <w:pStyle w:val="Heading3"/>
      </w:pPr>
      <w:r>
        <w:t>**1. Atrioventricular (AV) Heart Blocks**</w:t>
      </w:r>
    </w:p>
    <w:p>
      <w:r>
        <w:t xml:space="preserve">*   </w:t>
      </w:r>
      <w:r>
        <w:rPr>
          <w:b/>
        </w:rPr>
        <w:t>Mobitz I (Wenckebach):</w:t>
      </w:r>
      <w:r>
        <w:t xml:space="preserve"> Usually nodal (supra-Hisian) and benign. If symptomatic, treat with </w:t>
      </w:r>
      <w:r>
        <w:rPr>
          <w:b/>
        </w:rPr>
        <w:t>Atropine</w:t>
      </w:r>
      <w:r>
        <w:t>.</w:t>
      </w:r>
    </w:p>
    <w:p>
      <w:r>
        <w:t xml:space="preserve">*   </w:t>
      </w:r>
      <w:r>
        <w:rPr>
          <w:b/>
        </w:rPr>
        <w:t>Mobitz II &amp; Third-Degree Block:</w:t>
      </w:r>
      <w:r>
        <w:t xml:space="preserve"> Infranodal (Bundle of His or below). High risk of progression to asystole.</w:t>
      </w:r>
    </w:p>
    <w:p>
      <w:r>
        <w:t xml:space="preserve">*   </w:t>
      </w:r>
      <w:r>
        <w:rPr>
          <w:b/>
        </w:rPr>
        <w:t>Definitive:</w:t>
      </w:r>
      <w:r>
        <w:t xml:space="preserve"> Permanent Pacing.</w:t>
      </w:r>
    </w:p>
    <w:p>
      <w:r>
        <w:t xml:space="preserve">*   </w:t>
      </w:r>
      <w:r>
        <w:rPr>
          <w:b/>
        </w:rPr>
        <w:t>Temporizing Bridge:</w:t>
      </w:r>
      <w:r>
        <w:t xml:space="preserve"> </w:t>
      </w:r>
      <w:r>
        <w:rPr>
          <w:b/>
        </w:rPr>
        <w:t>Isoprenaline</w:t>
      </w:r>
      <w:r>
        <w:t xml:space="preserve"> (Beta-agonist) is preferred over Atropine, as Atropine is often ineffective for infranodal blocks.</w:t>
      </w:r>
    </w:p>
    <w:p>
      <w:pPr>
        <w:pStyle w:val="Heading3"/>
      </w:pPr>
      <w:r>
        <w:t>**2. High-Yield ECG Patterns**</w:t>
      </w:r>
    </w:p>
    <w:p>
      <w:r>
        <w:t xml:space="preserve">*   </w:t>
      </w:r>
      <w:r>
        <w:rPr>
          <w:b/>
        </w:rPr>
        <w:t>Ischemia:</w:t>
      </w:r>
      <w:r>
        <w:t xml:space="preserve"> STEMI/NSTEMI patterns.</w:t>
      </w:r>
    </w:p>
    <w:p>
      <w:r>
        <w:t xml:space="preserve">*   </w:t>
      </w:r>
      <w:r>
        <w:rPr>
          <w:b/>
        </w:rPr>
        <w:t>PE:</w:t>
      </w:r>
      <w:r>
        <w:t xml:space="preserve"> S1Q3T3 pattern, sinus tachycardia.</w:t>
      </w:r>
    </w:p>
    <w:p>
      <w:r>
        <w:t xml:space="preserve">*   </w:t>
      </w:r>
      <w:r>
        <w:rPr>
          <w:b/>
        </w:rPr>
        <w:t>Electrolytes:</w:t>
      </w:r>
      <w:r>
        <w:t xml:space="preserve"> Peaked T-waves (hyperkalemia), prolonged QT (hypocalcemia).</w:t>
      </w:r>
    </w:p>
    <w:p>
      <w:r>
        <w:t xml:space="preserve">*   </w:t>
      </w:r>
      <w:r>
        <w:rPr>
          <w:b/>
        </w:rPr>
        <w:t>Drugs:</w:t>
      </w:r>
      <w:r>
        <w:t xml:space="preserve"> Digoxin effect (ST-depression/reverse tick), QT prolongation (macrolides, antipsychotics).</w:t>
      </w:r>
    </w:p>
    <w:p>
      <w:r>
        <w:t>---</w:t>
      </w:r>
    </w:p>
    <w:p>
      <w:pPr>
        <w:pStyle w:val="Heading2"/>
      </w:pPr>
      <w:r>
        <w:t>**IV. Inflammatory &amp; Infectious Heart Disease**</w:t>
      </w:r>
    </w:p>
    <w:p>
      <w:pPr>
        <w:pStyle w:val="Heading3"/>
      </w:pPr>
      <w:r>
        <w:t>**1. Modified Duke Criteria (Infective Endocarditis)**</w:t>
      </w:r>
    </w:p>
    <w:p>
      <w:r>
        <w:t xml:space="preserve">*   </w:t>
      </w:r>
      <w:r>
        <w:rPr>
          <w:b/>
        </w:rPr>
        <w:t>Major:</w:t>
      </w:r>
      <w:r>
        <w:t xml:space="preserve"> Positive blood cultures (2 separate typical organisms), Echo evidence (vegetation, abscess, new valve dehiscence), or new valvular regurgitation.</w:t>
      </w:r>
    </w:p>
    <w:p>
      <w:r>
        <w:t xml:space="preserve">*   </w:t>
      </w:r>
      <w:r>
        <w:rPr>
          <w:b/>
        </w:rPr>
        <w:t>Minor:</w:t>
      </w:r>
      <w:r>
        <w:t xml:space="preserve"> Fever (&gt;38°C), IV drug use/predisposing heart condition, Vascular phenomena (Janeway lesions, emboli), Immunologic phenomena (Osler’s nodes, Roth spots, glomerulonephritis).</w:t>
      </w:r>
    </w:p>
    <w:p>
      <w:r>
        <w:t xml:space="preserve">*   </w:t>
      </w:r>
      <w:r>
        <w:rPr>
          <w:b/>
        </w:rPr>
        <w:t>Diagnosis:</w:t>
      </w:r>
      <w:r>
        <w:t xml:space="preserve"> 2 Major OR 1 Major + 3 Minor OR 5 Minor.</w:t>
      </w:r>
    </w:p>
    <w:p>
      <w:pPr>
        <w:pStyle w:val="Heading3"/>
      </w:pPr>
      <w:r>
        <w:t>**2. Revised Jones Criteria (Acute Rheumatic Fever)**</w:t>
      </w:r>
    </w:p>
    <w:p>
      <w:r>
        <w:t xml:space="preserve">*   </w:t>
      </w:r>
      <w:r>
        <w:rPr>
          <w:b/>
        </w:rPr>
        <w:t>Requirement:</w:t>
      </w:r>
      <w:r>
        <w:t xml:space="preserve"> Evidence of preceding Group A Strep (GAS) infection + (2 Major) OR (1 Major + 2 Minor).</w:t>
      </w:r>
    </w:p>
    <w:p>
      <w:r>
        <w:t xml:space="preserve">*   </w:t>
      </w:r>
      <w:r>
        <w:rPr>
          <w:b/>
        </w:rPr>
        <w:t>Major:</w:t>
      </w:r>
      <w:r>
        <w:t xml:space="preserve"> Carditis, Polyarthritis (migratory), Sydenham chorea, Erythema marginatum, Subcutaneous nodules.</w:t>
      </w:r>
    </w:p>
    <w:p>
      <w:r>
        <w:t xml:space="preserve">*   </w:t>
      </w:r>
      <w:r>
        <w:rPr>
          <w:b/>
        </w:rPr>
        <w:t>Minor:</w:t>
      </w:r>
      <w:r>
        <w:t xml:space="preserve"> Arthralgia, Fever (≥38.5°C), Elevated ESR/CRP, Prolonged PR interval.</w:t>
      </w:r>
    </w:p>
    <w:p>
      <w:r>
        <w:t>---</w:t>
      </w:r>
    </w:p>
    <w:p>
      <w:pPr>
        <w:pStyle w:val="Heading2"/>
      </w:pPr>
      <w:r>
        <w:t>**V. Cardiomyopathies &amp; Heart Failure**</w:t>
      </w:r>
    </w:p>
    <w:p>
      <w:pPr>
        <w:pStyle w:val="Heading3"/>
      </w:pPr>
      <w:r>
        <w:t>**1. Dilated Cardiomyopathy (DCM) &amp; HFrEF**</w:t>
      </w:r>
    </w:p>
    <w:p>
      <w:r>
        <w:t>Standard "Quadruple Therapy" for HFrEF (Reduced Ejection Fraction) includes:</w:t>
      </w:r>
    </w:p>
    <w:p>
      <w:r>
        <w:t xml:space="preserve">1.  </w:t>
      </w:r>
      <w:r>
        <w:rPr>
          <w:b/>
        </w:rPr>
        <w:t>ACEi / ARB / ARNI</w:t>
      </w:r>
      <w:r>
        <w:t xml:space="preserve"> (Sacubitril/Valsartan).</w:t>
      </w:r>
    </w:p>
    <w:p>
      <w:r>
        <w:t xml:space="preserve">2.  </w:t>
      </w:r>
      <w:r>
        <w:rPr>
          <w:b/>
        </w:rPr>
        <w:t>Beta-blocker</w:t>
      </w:r>
      <w:r>
        <w:t xml:space="preserve"> (Bisoprolol, Carvedilol, or Metoprolol succinate).</w:t>
      </w:r>
    </w:p>
    <w:p>
      <w:r>
        <w:t xml:space="preserve">3.  </w:t>
      </w:r>
      <w:r>
        <w:rPr>
          <w:b/>
        </w:rPr>
        <w:t>Mineralocorticoid Receptor Antagonist (MRA)</w:t>
      </w:r>
      <w:r>
        <w:t xml:space="preserve"> (Spironolactone).</w:t>
      </w:r>
    </w:p>
    <w:p>
      <w:r>
        <w:t xml:space="preserve">4.  </w:t>
      </w:r>
      <w:r>
        <w:rPr>
          <w:b/>
        </w:rPr>
        <w:t>SGLT2 Inhibitor</w:t>
      </w:r>
      <w:r>
        <w:t xml:space="preserve"> (Dapagliflozin/Empagliflozin).</w:t>
      </w:r>
    </w:p>
    <w:p>
      <w:pPr>
        <w:pStyle w:val="Heading3"/>
      </w:pPr>
      <w:r>
        <w:t>**2. Restrictive Cardiomyopathy &amp; Wilson’s Disease**</w:t>
      </w:r>
    </w:p>
    <w:p>
      <w:r>
        <w:t xml:space="preserve">Wilson’s disease (copper metabolism defect) can cause copper accumulation in the myocardium, leading to </w:t>
      </w:r>
      <w:r>
        <w:rPr>
          <w:b/>
        </w:rPr>
        <w:t>restrictive cardiomyopathy</w:t>
      </w:r>
      <w:r>
        <w:t>. Suspect this in young patients with heart failure symptoms combined with liver cirrhosis or neuropsychiatric symptoms (Kayser-Fleischer rings).</w:t>
      </w:r>
    </w:p>
    <w:p>
      <w:r>
        <w:t>---</w:t>
      </w:r>
    </w:p>
    <w:p>
      <w:pPr>
        <w:pStyle w:val="Heading2"/>
      </w:pPr>
      <w:r>
        <w:t>**VI. Acute Coronary Syndromes (ACS) &amp; Vascular Emergencies**</w:t>
      </w:r>
    </w:p>
    <w:p>
      <w:pPr>
        <w:pStyle w:val="Heading3"/>
      </w:pPr>
      <w:r>
        <w:t>**1. Post-ACS Beta-Blocker Therapy**</w:t>
      </w:r>
    </w:p>
    <w:p>
      <w:r>
        <w:t xml:space="preserve">*   </w:t>
      </w:r>
      <w:r>
        <w:rPr>
          <w:b/>
        </w:rPr>
        <w:t>Normal LVEF (≥50%):</w:t>
      </w:r>
      <w:r>
        <w:t xml:space="preserve"> Continue beta-blockers for </w:t>
      </w:r>
      <w:r>
        <w:rPr>
          <w:b/>
        </w:rPr>
        <w:t>6–12 months</w:t>
      </w:r>
      <w:r>
        <w:t>, then cease unless another indication (angina, arrhythmia) exists.</w:t>
      </w:r>
    </w:p>
    <w:p>
      <w:r>
        <w:t xml:space="preserve">*   </w:t>
      </w:r>
      <w:r>
        <w:rPr>
          <w:b/>
        </w:rPr>
        <w:t>Reduced LVEF (&lt;40-50%):</w:t>
      </w:r>
      <w:r>
        <w:t xml:space="preserve"> Continue lifelong for mortality benefit.</w:t>
      </w:r>
    </w:p>
    <w:p>
      <w:pPr>
        <w:pStyle w:val="Heading3"/>
      </w:pPr>
      <w:r>
        <w:t>**2. Triple Therapy (Context Matters)**</w:t>
      </w:r>
    </w:p>
    <w:p>
      <w:r>
        <w:t xml:space="preserve">*   </w:t>
      </w:r>
      <w:r>
        <w:rPr>
          <w:b/>
        </w:rPr>
        <w:t>Post-ACS + AF:</w:t>
      </w:r>
      <w:r>
        <w:t xml:space="preserve"> Aspirin + P2Y12 inhibitor + Oral Anticoagulant (OAC).</w:t>
      </w:r>
    </w:p>
    <w:p>
      <w:r>
        <w:t xml:space="preserve">*   </w:t>
      </w:r>
      <w:r>
        <w:rPr>
          <w:b/>
        </w:rPr>
        <w:t>HFrEF GDMT:</w:t>
      </w:r>
      <w:r>
        <w:t xml:space="preserve"> ACEi + Beta-blocker + MRA.</w:t>
      </w:r>
    </w:p>
    <w:p>
      <w:pPr>
        <w:pStyle w:val="Heading3"/>
      </w:pPr>
      <w:r>
        <w:t>**3. Differentiating Aortic Dissection from MI**</w:t>
      </w:r>
    </w:p>
    <w:p>
      <w:r>
        <w:t xml:space="preserve">*   </w:t>
      </w:r>
      <w:r>
        <w:rPr>
          <w:b/>
        </w:rPr>
        <w:t>Dissection:</w:t>
      </w:r>
      <w:r>
        <w:t xml:space="preserve"> Sudden "tearing" pain radiating to the back; </w:t>
      </w:r>
      <w:r>
        <w:rPr>
          <w:b/>
        </w:rPr>
        <w:t>BP differential between arms (&gt;20 mmHg)</w:t>
      </w:r>
      <w:r>
        <w:t>.</w:t>
      </w:r>
    </w:p>
    <w:p>
      <w:r>
        <w:t xml:space="preserve">*   </w:t>
      </w:r>
      <w:r>
        <w:rPr>
          <w:b/>
        </w:rPr>
        <w:t>MI:</w:t>
      </w:r>
      <w:r>
        <w:t xml:space="preserve"> "Pressure" or "heaviness"; pain builds over minutes; radiation to jaw/left arm.</w:t>
      </w:r>
    </w:p>
    <w:p>
      <w:r>
        <w:t>---</w:t>
      </w:r>
    </w:p>
    <w:p>
      <w:pPr>
        <w:pStyle w:val="Heading2"/>
      </w:pPr>
      <w:r>
        <w:t>**VII. Pulmonary Embolism (2026 AHA/ACC/CHEST Update)**</w:t>
      </w:r>
    </w:p>
    <w:p>
      <w:r>
        <w:t xml:space="preserve">The "Massive/Submassive" nomenclature is replaced by a </w:t>
      </w:r>
      <w:r>
        <w:rPr>
          <w:b/>
        </w:rPr>
        <w:t>Category A–E System</w:t>
      </w:r>
      <w:r>
        <w:t>:</w:t>
      </w:r>
    </w:p>
    <w:p>
      <w:r>
        <w:t xml:space="preserve">*   </w:t>
      </w:r>
      <w:r>
        <w:rPr>
          <w:b/>
        </w:rPr>
        <w:t>Cat A/B (Low Risk):</w:t>
      </w:r>
      <w:r>
        <w:t xml:space="preserve"> Symptomatic but stable. Managed with outpatient DOACs.</w:t>
      </w:r>
    </w:p>
    <w:p>
      <w:r>
        <w:t xml:space="preserve">*   </w:t>
      </w:r>
      <w:r>
        <w:rPr>
          <w:b/>
        </w:rPr>
        <w:t>Cat C (Intermediate):</w:t>
      </w:r>
      <w:r>
        <w:t xml:space="preserve"> RV strain/Biomarkers present. Require ward admission.</w:t>
      </w:r>
    </w:p>
    <w:p>
      <w:r>
        <w:t xml:space="preserve">*   </w:t>
      </w:r>
      <w:r>
        <w:rPr>
          <w:b/>
        </w:rPr>
        <w:t>Cat D (Transient Instability):</w:t>
      </w:r>
      <w:r>
        <w:t xml:space="preserve"> Near-syncope or transient hypotension. Require ICU.</w:t>
      </w:r>
    </w:p>
    <w:p>
      <w:r>
        <w:t xml:space="preserve">*   </w:t>
      </w:r>
      <w:r>
        <w:rPr>
          <w:b/>
        </w:rPr>
        <w:t>Cat E (Obstructive Shock):</w:t>
      </w:r>
      <w:r>
        <w:t xml:space="preserve"> SBP &lt;90 mmHg. Immediate </w:t>
      </w:r>
      <w:r>
        <w:rPr>
          <w:b/>
        </w:rPr>
        <w:t>thrombolysis</w:t>
      </w:r>
      <w:r>
        <w:t xml:space="preserve"> or mechanical thrombectomy.</w:t>
      </w:r>
    </w:p>
    <w:p>
      <w:r>
        <w:t>---</w:t>
      </w:r>
    </w:p>
    <w:p>
      <w:pPr>
        <w:pStyle w:val="Heading2"/>
      </w:pPr>
      <w:r>
        <w:t>**VIII. Congenital Heart Disease**</w:t>
      </w:r>
    </w:p>
    <w:p>
      <w:pPr>
        <w:pStyle w:val="Heading3"/>
      </w:pPr>
      <w:r>
        <w:t>**1. Tetralogy of Fallot (TOF)**</w:t>
      </w:r>
    </w:p>
    <w:p>
      <w:r>
        <w:t xml:space="preserve">*   </w:t>
      </w:r>
      <w:r>
        <w:rPr>
          <w:b/>
        </w:rPr>
        <w:t>Components:</w:t>
      </w:r>
      <w:r>
        <w:t xml:space="preserve"> VSD, Pulmonary Stenosis, RV Hypertrophy, Overriding Aorta.</w:t>
      </w:r>
    </w:p>
    <w:p>
      <w:r>
        <w:t xml:space="preserve">*   </w:t>
      </w:r>
      <w:r>
        <w:rPr>
          <w:b/>
        </w:rPr>
        <w:t>Tet Spell Management:</w:t>
      </w:r>
      <w:r/>
    </w:p>
    <w:p>
      <w:r>
        <w:t>1.  Knee-chest position (increases systemic vascular resistance).</w:t>
      </w:r>
    </w:p>
    <w:p>
      <w:r>
        <w:t>2.  Oxygen and IV fluids.</w:t>
      </w:r>
    </w:p>
    <w:p>
      <w:r>
        <w:t>3.  Morphine (reduces infundibular spasm).</w:t>
      </w:r>
    </w:p>
    <w:p>
      <w:r>
        <w:t>4.  Phenylephrine (if refractory).</w:t>
      </w:r>
    </w:p>
    <w:p>
      <w:pPr>
        <w:pStyle w:val="Heading3"/>
      </w:pPr>
      <w:r>
        <w:t>**2. Coarctation of the Aorta**</w:t>
      </w:r>
    </w:p>
    <w:p>
      <w:r>
        <w:t xml:space="preserve">*   </w:t>
      </w:r>
      <w:r>
        <w:rPr>
          <w:b/>
        </w:rPr>
        <w:t>Presentation:</w:t>
      </w:r>
      <w:r>
        <w:t xml:space="preserve"> Hypertension in upper extremities, diminished/delayed femoral pulses (radio-femoral delay).</w:t>
      </w:r>
    </w:p>
    <w:p>
      <w:r>
        <w:t xml:space="preserve">*   </w:t>
      </w:r>
      <w:r>
        <w:rPr>
          <w:b/>
        </w:rPr>
        <w:t>Imaging:</w:t>
      </w:r>
      <w:r>
        <w:t xml:space="preserve"> Rib notching and the "Figure 3 sign" on CXR.</w:t>
      </w:r>
    </w:p>
    <w:p>
      <w:r>
        <w:t xml:space="preserve">*   </w:t>
      </w:r>
      <w:r>
        <w:rPr>
          <w:b/>
        </w:rPr>
        <w:t>Association:</w:t>
      </w:r>
      <w:r>
        <w:t xml:space="preserve"> Bicuspid aortic valve (50%) and Turner Syndrome.</w:t>
      </w:r>
    </w:p>
    <w:p>
      <w:pPr>
        <w:pStyle w:val="Heading3"/>
      </w:pPr>
      <w:r>
        <w:t>**3. Transposition of the Great Arteries (d-TGA)**</w:t>
      </w:r>
    </w:p>
    <w:p>
      <w:r>
        <w:t xml:space="preserve">*   </w:t>
      </w:r>
      <w:r>
        <w:rPr>
          <w:b/>
        </w:rPr>
        <w:t>Management:</w:t>
      </w:r>
      <w:r>
        <w:t xml:space="preserve"> Keep the ductus arteriosus open using </w:t>
      </w:r>
      <w:r>
        <w:rPr>
          <w:b/>
        </w:rPr>
        <w:t>Prostaglandin E1 (PGE1)</w:t>
      </w:r>
      <w:r>
        <w:t xml:space="preserve"> infusion until surgical "arterial switch" can be performed.</w:t>
      </w:r>
    </w:p>
    <w:p>
      <w:pPr>
        <w:pStyle w:val="Heading1"/>
      </w:pPr>
      <w:r>
        <w:t>Dermatology</w:t>
      </w:r>
    </w:p>
    <w:p>
      <w:pPr>
        <w:pStyle w:val="Heading1"/>
      </w:pPr>
      <w:r>
        <w:t>Dermatology: Clinical Management &amp; High-Yield Exam Essentials</w:t>
      </w:r>
    </w:p>
    <w:p>
      <w:pPr>
        <w:pStyle w:val="Heading2"/>
      </w:pPr>
      <w:r>
        <w:t>1. Atopic Dermatitis: Therapeutic Framework</w:t>
      </w:r>
    </w:p>
    <w:p>
      <w:r>
        <w:t>Atopic dermatitis (eczema) management is a stepwise process focusing on barrier repair and targeted anti-inflammatory intervention.</w:t>
      </w:r>
    </w:p>
    <w:p>
      <w:pPr>
        <w:pStyle w:val="Heading3"/>
      </w:pPr>
      <w:r>
        <w:t>Foundation of Care</w:t>
      </w:r>
    </w:p>
    <w:p>
      <w:r>
        <w:t xml:space="preserve">*   </w:t>
      </w:r>
      <w:r>
        <w:rPr>
          <w:b/>
        </w:rPr>
        <w:t>Emollients:</w:t>
      </w:r>
      <w:r>
        <w:t xml:space="preserve"> The cornerstone of maintenance therapy. Must be used daily, even when the skin appears clear, to repair the epidermal barrier and reduce the frequency of flares.</w:t>
      </w:r>
    </w:p>
    <w:p>
      <w:r>
        <w:t xml:space="preserve">*   </w:t>
      </w:r>
      <w:r>
        <w:rPr>
          <w:b/>
        </w:rPr>
        <w:t>Trigger Avoidance:</w:t>
      </w:r>
      <w:r>
        <w:t xml:space="preserve"> Identifying and minimizing exposure to irritants (e.g., soaps, wool) and known allergens.</w:t>
      </w:r>
    </w:p>
    <w:p>
      <w:pPr>
        <w:pStyle w:val="Heading3"/>
      </w:pPr>
      <w:r>
        <w:t>Acute Management (Flares)</w:t>
      </w:r>
    </w:p>
    <w:p>
      <w:r>
        <w:t xml:space="preserve">*   </w:t>
      </w:r>
      <w:r>
        <w:rPr>
          <w:b/>
        </w:rPr>
        <w:t>Topical Corticosteroids (TCS):</w:t>
      </w:r>
      <w:r>
        <w:t xml:space="preserve"> The first-line anti-inflammatory for active lesions.</w:t>
      </w:r>
    </w:p>
    <w:p>
      <w:r>
        <w:t xml:space="preserve">*   </w:t>
      </w:r>
      <w:r>
        <w:rPr>
          <w:b/>
        </w:rPr>
        <w:t>Potency Selection:</w:t>
      </w:r>
      <w:r>
        <w:t xml:space="preserve"> Match to anatomical site and severity. Use mild potency for the face and flexures; moderate to potent for the trunk and limbs.</w:t>
      </w:r>
    </w:p>
    <w:p>
      <w:r>
        <w:t xml:space="preserve">*   </w:t>
      </w:r>
      <w:r>
        <w:rPr>
          <w:b/>
        </w:rPr>
        <w:t>Duration:</w:t>
      </w:r>
      <w:r>
        <w:t xml:space="preserve"> Apply until the flare is fully resolved, then step down or discontinue.</w:t>
      </w:r>
    </w:p>
    <w:p>
      <w:r>
        <w:t xml:space="preserve">*   </w:t>
      </w:r>
      <w:r>
        <w:rPr>
          <w:b/>
        </w:rPr>
        <w:t>Steroid-Sparing Agents:</w:t>
      </w:r>
      <w:r>
        <w:t xml:space="preserve"> Topical calcineurin inhibitors (e.g., tacrolimus) or phosphodiesterase-4 inhibitors (e.g., crisaborole) are indicated for chronic or sensitive-site involvement.</w:t>
      </w:r>
    </w:p>
    <w:p>
      <w:r>
        <w:t xml:space="preserve">*   </w:t>
      </w:r>
      <w:r>
        <w:rPr>
          <w:b/>
        </w:rPr>
        <w:t>Severe Cases:</w:t>
      </w:r>
      <w:r>
        <w:t xml:space="preserve"> Refractory disease may require wet wraps, phototherapy, or systemic immunosuppression (e.g., cyclosporine, dupilumab).</w:t>
      </w:r>
    </w:p>
    <w:p>
      <w:r>
        <w:t>---</w:t>
      </w:r>
    </w:p>
    <w:p>
      <w:pPr>
        <w:pStyle w:val="Heading2"/>
      </w:pPr>
      <w:r>
        <w:t>2. Management of Multiple Suspicious Pigmented Lesions</w:t>
      </w:r>
    </w:p>
    <w:p>
      <w:r>
        <w:t>The identification of multiple suspicious lesions requires a comprehensive approach to rule out synchronous primary melanomas.</w:t>
      </w:r>
    </w:p>
    <w:p>
      <w:pPr>
        <w:pStyle w:val="Heading3"/>
      </w:pPr>
      <w:r>
        <w:t>Clinical Action &amp; Rationale</w:t>
      </w:r>
    </w:p>
    <w:p>
      <w:r>
        <w:t xml:space="preserve">*   </w:t>
      </w:r>
      <w:r>
        <w:rPr>
          <w:b/>
        </w:rPr>
        <w:t>Excisional Biopsy:</w:t>
      </w:r>
      <w:r>
        <w:t xml:space="preserve"> If multiple lesions meet the ABCDE criteria or appear suspicious, </w:t>
      </w:r>
      <w:r>
        <w:rPr>
          <w:b/>
        </w:rPr>
        <w:t>all</w:t>
      </w:r>
      <w:r>
        <w:t xml:space="preserve"> must undergo complete excisional biopsy with narrow margins.</w:t>
      </w:r>
    </w:p>
    <w:p>
      <w:r>
        <w:t xml:space="preserve">*   </w:t>
      </w:r>
      <w:r>
        <w:rPr>
          <w:b/>
        </w:rPr>
        <w:t>The "Multiple Primaries" Risk:</w:t>
      </w:r>
      <w:r>
        <w:t xml:space="preserve"> A diagnosis of one primary melanoma significantly increases the risk of a second concurrent or future primary melanoma due to shared genetic and UV-exposure risk factors.</w:t>
      </w:r>
    </w:p>
    <w:p>
      <w:r>
        <w:t xml:space="preserve">*   </w:t>
      </w:r>
      <w:r>
        <w:rPr>
          <w:b/>
        </w:rPr>
        <w:t>Surveillance:</w:t>
      </w:r>
      <w:r>
        <w:t xml:space="preserve"> Following biopsy, patients require lifelong, structured skin examinations (typically every 3–12 months) to monitor for new or changing lesions.</w:t>
      </w:r>
    </w:p>
    <w:p>
      <w:r>
        <w:t>---</w:t>
      </w:r>
    </w:p>
    <w:p>
      <w:pPr>
        <w:pStyle w:val="Heading2"/>
      </w:pPr>
      <w:r>
        <w:t>3. Geriatric Dermatology: Conservative Management of BCC</w:t>
      </w:r>
    </w:p>
    <w:p>
      <w:r>
        <w:t>In the elderly and frail population, the management of Basal Cell Carcinoma (BCC) shifts from a purely curative intent to a focus on quality of life and treatment burden.</w:t>
      </w:r>
    </w:p>
    <w:p>
      <w:pPr>
        <w:pStyle w:val="Heading3"/>
      </w:pPr>
      <w:r>
        <w:t>Appropriate Conservatism</w:t>
      </w:r>
    </w:p>
    <w:p>
      <w:r>
        <w:t xml:space="preserve">*   </w:t>
      </w:r>
      <w:r>
        <w:rPr>
          <w:b/>
        </w:rPr>
        <w:t>Scenario:</w:t>
      </w:r>
      <w:r>
        <w:t xml:space="preserve"> An asymptomatic, 8mm BCC on the shin of a frail patient in nursing care.</w:t>
      </w:r>
    </w:p>
    <w:p>
      <w:r>
        <w:t xml:space="preserve">*   </w:t>
      </w:r>
      <w:r>
        <w:rPr>
          <w:b/>
        </w:rPr>
        <w:t>Watchful Waiting / Active Surveillance:</w:t>
      </w:r>
      <w:r>
        <w:t xml:space="preserve"> This is a validated and often preferred management strategy in patients with limited life expectancy or significant comorbidities. The goal is to monitor for symptomatic progression (e.g., bleeding or ulceration) rather than performing invasive surgery.</w:t>
      </w:r>
    </w:p>
    <w:p>
      <w:r>
        <w:t xml:space="preserve">*   </w:t>
      </w:r>
      <w:r>
        <w:rPr>
          <w:b/>
        </w:rPr>
        <w:t>Alternative Low-Impact Therapies:</w:t>
      </w:r>
      <w:r>
        <w:t xml:space="preserve"> If treatment is necessary but surgery is high-risk, consider:</w:t>
      </w:r>
    </w:p>
    <w:p>
      <w:r>
        <w:t xml:space="preserve">*   </w:t>
      </w:r>
      <w:r>
        <w:rPr>
          <w:b/>
        </w:rPr>
        <w:t>Topical therapy:</w:t>
      </w:r>
      <w:r>
        <w:t xml:space="preserve"> Imiquimod or 5-fluorouracil (for superficial subtypes).</w:t>
      </w:r>
    </w:p>
    <w:p>
      <w:r>
        <w:t xml:space="preserve">*   </w:t>
      </w:r>
      <w:r>
        <w:rPr>
          <w:b/>
        </w:rPr>
        <w:t>Curettage &amp; Cautery:</w:t>
      </w:r>
      <w:r>
        <w:t xml:space="preserve"> For low-risk nodular lesions.</w:t>
      </w:r>
    </w:p>
    <w:p>
      <w:r>
        <w:t xml:space="preserve">*   </w:t>
      </w:r>
      <w:r>
        <w:rPr>
          <w:b/>
        </w:rPr>
        <w:t>AMC Exam Pearl:</w:t>
      </w:r>
      <w:r>
        <w:t xml:space="preserve"> Always prioritize "shared decision-making" and assess the patient’s overall prognosis before opting for the "gold-standard" surgical excision.</w:t>
      </w:r>
    </w:p>
    <w:p>
      <w:r>
        <w:t>---</w:t>
      </w:r>
    </w:p>
    <w:p>
      <w:pPr>
        <w:pStyle w:val="Heading2"/>
      </w:pPr>
      <w:r>
        <w:t>4. Bullous Pemphigoid: Key Diagnostic Features</w:t>
      </w:r>
    </w:p>
    <w:p>
      <w:r>
        <w:t>Bullous Pemphigoid is a common autoimmune blistering disease, predominantly affecting the elderly.</w:t>
      </w:r>
    </w:p>
    <w:p>
      <w:r>
        <w:t xml:space="preserve">*   </w:t>
      </w:r>
      <w:r>
        <w:rPr>
          <w:b/>
        </w:rPr>
        <w:t>Clinical Presentation:</w:t>
      </w:r>
      <w:r>
        <w:t xml:space="preserve"> Characterized by </w:t>
      </w:r>
      <w:r>
        <w:rPr>
          <w:b/>
        </w:rPr>
        <w:t>tense bullae</w:t>
      </w:r>
      <w:r>
        <w:t xml:space="preserve"> (subepidermal) and severe pruritus that often precedes the blisters.</w:t>
      </w:r>
    </w:p>
    <w:p>
      <w:r>
        <w:t xml:space="preserve">*   </w:t>
      </w:r>
      <w:r>
        <w:rPr>
          <w:b/>
        </w:rPr>
        <w:t>The Critical Negative:</w:t>
      </w:r>
      <w:r>
        <w:t xml:space="preserve"> Unlike Pemphigus Vulgaris, </w:t>
      </w:r>
      <w:r>
        <w:rPr>
          <w:b/>
        </w:rPr>
        <w:t>mucosal sparing</w:t>
      </w:r>
      <w:r>
        <w:t xml:space="preserve"> is typical in Bullous Pemphigoid.</w:t>
      </w:r>
    </w:p>
    <w:p>
      <w:r>
        <w:t xml:space="preserve">*   </w:t>
      </w:r>
      <w:r>
        <w:rPr>
          <w:b/>
        </w:rPr>
        <w:t>Diagnosis:</w:t>
      </w:r>
      <w:r/>
    </w:p>
    <w:p>
      <w:r>
        <w:t xml:space="preserve">*   </w:t>
      </w:r>
      <w:r>
        <w:rPr>
          <w:b/>
        </w:rPr>
        <w:t>Histopathology:</w:t>
      </w:r>
      <w:r>
        <w:t xml:space="preserve"> Shows subepidermal splitting with an eosinophilic infiltrate.</w:t>
      </w:r>
    </w:p>
    <w:p>
      <w:r>
        <w:t xml:space="preserve">*   </w:t>
      </w:r>
      <w:r>
        <w:rPr>
          <w:b/>
        </w:rPr>
        <w:t>Direct Immunofluorescence (DIF):</w:t>
      </w:r>
      <w:r>
        <w:t xml:space="preserve"> Shows linear IgG and C3 deposits along the basement membrane zone.</w:t>
      </w:r>
    </w:p>
    <w:p>
      <w:r>
        <w:t xml:space="preserve">*   </w:t>
      </w:r>
      <w:r>
        <w:rPr>
          <w:b/>
        </w:rPr>
        <w:t>Management:</w:t>
      </w:r>
      <w:r>
        <w:t xml:space="preserve"> High-potency topical or systemic corticosteroids are first-line, with steroid-sparing agents (e.g., azathioprine) utilized for maintenance.</w:t>
      </w:r>
    </w:p>
    <w:p>
      <w:r>
        <w:t>---</w:t>
      </w:r>
    </w:p>
    <w:p>
      <w:pPr>
        <w:pStyle w:val="Heading2"/>
      </w:pPr>
      <w:r>
        <w:t>5. Diagnostic Algorithm for Purpura</w:t>
      </w:r>
    </w:p>
    <w:p>
      <w:r>
        <w:t>Purpura (non-blanching lesions) must be categorized immediately to determine the underlying pathology.</w:t>
      </w:r>
    </w:p>
    <w:p>
      <w:pPr>
        <w:pStyle w:val="Heading3"/>
      </w:pPr>
      <w:r>
        <w:t>Step 1: Palpability</w:t>
      </w:r>
    </w:p>
    <w:p>
      <w:r>
        <w:t xml:space="preserve">*   </w:t>
      </w:r>
      <w:r>
        <w:rPr>
          <w:b/>
        </w:rPr>
        <w:t>Palpable Purpura:</w:t>
      </w:r>
      <w:r>
        <w:t xml:space="preserve"> Raised lesions are the hallmark of </w:t>
      </w:r>
      <w:r>
        <w:rPr>
          <w:b/>
        </w:rPr>
        <w:t>cutaneous small-vessel vasculitis</w:t>
      </w:r>
      <w:r>
        <w:t xml:space="preserve"> (e.g., IgA vasculitis/HSP). This requires investigation for systemic involvement (renal, GI) and underlying triggers (infection, drugs).</w:t>
      </w:r>
    </w:p>
    <w:p>
      <w:pPr>
        <w:pStyle w:val="Heading3"/>
      </w:pPr>
      <w:r>
        <w:t>Step 2: Platelet Assessment (If Non-Palpable)</w:t>
      </w:r>
    </w:p>
    <w:p>
      <w:r>
        <w:t>If the purpura is flat (macular), a Full Blood Count (FBC) is the mandatory next step:</w:t>
      </w:r>
    </w:p>
    <w:p>
      <w:r>
        <w:t xml:space="preserve">*   </w:t>
      </w:r>
      <w:r>
        <w:rPr>
          <w:b/>
        </w:rPr>
        <w:t>Low Platelets (Thrombocytopenia):</w:t>
      </w:r>
      <w:r>
        <w:t xml:space="preserve"> Suggests a failure of primary haemostasis (e.g., ITP, bone marrow failure, DIC).</w:t>
      </w:r>
    </w:p>
    <w:p>
      <w:r>
        <w:t xml:space="preserve">*   </w:t>
      </w:r>
      <w:r>
        <w:rPr>
          <w:b/>
        </w:rPr>
        <w:t>Normal Platelets:</w:t>
      </w:r>
      <w:r>
        <w:t xml:space="preserve"> Points toward </w:t>
      </w:r>
      <w:r>
        <w:rPr>
          <w:b/>
        </w:rPr>
        <w:t>vascular fragility</w:t>
      </w:r>
      <w:r>
        <w:t xml:space="preserve"> or connective tissue defects.</w:t>
      </w:r>
    </w:p>
    <w:p>
      <w:r>
        <w:t>*   *Differential:* Senile purpura (age-related), steroid-induced atrophy, or Vitamin C deficiency (scurvy).</w:t>
      </w:r>
    </w:p>
    <w:p>
      <w:r>
        <w:t>---</w:t>
      </w:r>
    </w:p>
    <w:p>
      <w:r/>
      <w:r>
        <w:rPr>
          <w:b/>
        </w:rPr>
        <w:t>High-Yield Summary for AMC:</w:t>
      </w:r>
      <w:r/>
    </w:p>
    <w:p>
      <w:r>
        <w:t xml:space="preserve">1. </w:t>
      </w:r>
      <w:r>
        <w:rPr>
          <w:b/>
        </w:rPr>
        <w:t>Atopic Dermatitis:</w:t>
      </w:r>
      <w:r>
        <w:t xml:space="preserve"> Emollients = Maintenance; Steroids = Flares.</w:t>
      </w:r>
    </w:p>
    <w:p>
      <w:r>
        <w:t xml:space="preserve">2. </w:t>
      </w:r>
      <w:r>
        <w:rPr>
          <w:b/>
        </w:rPr>
        <w:t>Pigmented Lesions:</w:t>
      </w:r>
      <w:r>
        <w:t xml:space="preserve"> Biopsy *all* suspicious spots; one melanoma increases risk of another.</w:t>
      </w:r>
    </w:p>
    <w:p>
      <w:r>
        <w:t xml:space="preserve">3. </w:t>
      </w:r>
      <w:r>
        <w:rPr>
          <w:b/>
        </w:rPr>
        <w:t>Geriatric BCC:</w:t>
      </w:r>
      <w:r>
        <w:t xml:space="preserve"> Watchful waiting is often the most "correct" answer for asymptomatic lesions in frail patients.</w:t>
      </w:r>
    </w:p>
    <w:p>
      <w:r>
        <w:t xml:space="preserve">4. </w:t>
      </w:r>
      <w:r>
        <w:rPr>
          <w:b/>
        </w:rPr>
        <w:t>Bullous Pemphigoid:</w:t>
      </w:r>
      <w:r>
        <w:t xml:space="preserve"> Tense bullae, elderly, itchy, mucosal sparing.</w:t>
      </w:r>
    </w:p>
    <w:p>
      <w:r>
        <w:t xml:space="preserve">5. </w:t>
      </w:r>
      <w:r>
        <w:rPr>
          <w:b/>
        </w:rPr>
        <w:t>Purpura:</w:t>
      </w:r>
      <w:r>
        <w:t xml:space="preserve"> Palpable = Vasculitis; Non-palpable = Check Platelets.</w:t>
      </w:r>
    </w:p>
    <w:p>
      <w:pPr>
        <w:pStyle w:val="Heading1"/>
      </w:pPr>
      <w:r>
        <w:t>Emergency</w:t>
      </w:r>
    </w:p>
    <w:p>
      <w:pPr>
        <w:pStyle w:val="Heading1"/>
      </w:pPr>
      <w:r>
        <w:t>Emergency Medicine: High-Yield Clinical Summaries for the AMC Examination</w:t>
      </w:r>
    </w:p>
    <w:p>
      <w:r>
        <w:t>This document consolidates essential emergency and ethical clinical guidelines, structured for rapid review and professional application.</w:t>
      </w:r>
    </w:p>
    <w:p>
      <w:r>
        <w:t>---</w:t>
      </w:r>
    </w:p>
    <w:p>
      <w:pPr>
        <w:pStyle w:val="Heading2"/>
      </w:pPr>
      <w:r>
        <w:t>I. Toxicology</w:t>
      </w:r>
    </w:p>
    <w:p>
      <w:pPr>
        <w:pStyle w:val="Heading3"/>
      </w:pPr>
      <w:r>
        <w:t>1. Anticholinergic (Antimuscarinic) Toxidrome</w:t>
      </w:r>
    </w:p>
    <w:p>
      <w:r>
        <w:t>Resulting from the blockade of muscarinic acetylcholine receptors, this toxidrome is commonly associated with TCAs (e.g., amitriptyline), antihistamines, antipsychotics, and antispasmodics.</w:t>
      </w:r>
    </w:p>
    <w:p>
      <w:r/>
      <w:r>
        <w:rPr>
          <w:b/>
        </w:rPr>
        <w:t>Classic Mnemonic:</w:t>
      </w:r>
      <w:r/>
    </w:p>
    <w:p>
      <w:r>
        <w:t xml:space="preserve">*   </w:t>
      </w:r>
      <w:r>
        <w:rPr>
          <w:b/>
        </w:rPr>
        <w:t>Mad as a hatter:</w:t>
      </w:r>
      <w:r>
        <w:t xml:space="preserve"> Delirium, agitation, visual hallucinations, and memory impairment.</w:t>
      </w:r>
    </w:p>
    <w:p>
      <w:r>
        <w:t xml:space="preserve">*   </w:t>
      </w:r>
      <w:r>
        <w:rPr>
          <w:b/>
        </w:rPr>
        <w:t>Blind as a bat:</w:t>
      </w:r>
      <w:r>
        <w:t xml:space="preserve"> Mydriasis (dilated pupils) and blurred vision (loss of accommodation).</w:t>
      </w:r>
    </w:p>
    <w:p>
      <w:r>
        <w:t xml:space="preserve">*   </w:t>
      </w:r>
      <w:r>
        <w:rPr>
          <w:b/>
        </w:rPr>
        <w:t>Red as a beet:</w:t>
      </w:r>
      <w:r>
        <w:t xml:space="preserve"> Flushed, warm skin.</w:t>
      </w:r>
    </w:p>
    <w:p>
      <w:r>
        <w:t xml:space="preserve">*   </w:t>
      </w:r>
      <w:r>
        <w:rPr>
          <w:b/>
        </w:rPr>
        <w:t>Hot as a hare:</w:t>
      </w:r>
      <w:r>
        <w:t xml:space="preserve"> Hyperthermia (due to impaired sweating/anhidrosis).</w:t>
      </w:r>
    </w:p>
    <w:p>
      <w:r>
        <w:t xml:space="preserve">*   </w:t>
      </w:r>
      <w:r>
        <w:rPr>
          <w:b/>
        </w:rPr>
        <w:t>Dry as a bone:</w:t>
      </w:r>
      <w:r>
        <w:t xml:space="preserve"> Dry mouth (xerostomia) and dry skin.</w:t>
      </w:r>
    </w:p>
    <w:p>
      <w:r>
        <w:t xml:space="preserve">*   </w:t>
      </w:r>
      <w:r>
        <w:rPr>
          <w:b/>
        </w:rPr>
        <w:t>Full as a flask:</w:t>
      </w:r>
      <w:r>
        <w:t xml:space="preserve"> Urinary retention and decreased bowel sounds (ileus).</w:t>
      </w:r>
    </w:p>
    <w:p>
      <w:r/>
      <w:r>
        <w:rPr>
          <w:b/>
        </w:rPr>
        <w:t>Cardiac Complications:</w:t>
      </w:r>
      <w:r/>
    </w:p>
    <w:p>
      <w:r>
        <w:t xml:space="preserve">*   </w:t>
      </w:r>
      <w:r>
        <w:rPr>
          <w:b/>
        </w:rPr>
        <w:t>Sinus tachycardia</w:t>
      </w:r>
      <w:r>
        <w:t xml:space="preserve"> is the most common finding.</w:t>
      </w:r>
    </w:p>
    <w:p>
      <w:r>
        <w:t xml:space="preserve">*   </w:t>
      </w:r>
      <w:r>
        <w:rPr>
          <w:b/>
        </w:rPr>
        <w:t>Severe Overdose (esp. TCAs):</w:t>
      </w:r>
      <w:r>
        <w:t xml:space="preserve"> Risk of QRS widening (&gt;100ms), QT prolongation, and ventricular arrhythmias.</w:t>
      </w:r>
    </w:p>
    <w:p>
      <w:r/>
      <w:r>
        <w:rPr>
          <w:b/>
        </w:rPr>
        <w:t>Management Strategy:</w:t>
      </w:r>
      <w:r/>
    </w:p>
    <w:p>
      <w:r>
        <w:t xml:space="preserve">*   </w:t>
      </w:r>
      <w:r>
        <w:rPr>
          <w:b/>
        </w:rPr>
        <w:t>Supportive Care:</w:t>
      </w:r>
      <w:r>
        <w:t xml:space="preserve"> Discontinue offending agents; provide cooling for hyperthermia.</w:t>
      </w:r>
    </w:p>
    <w:p>
      <w:r>
        <w:t xml:space="preserve">*   </w:t>
      </w:r>
      <w:r>
        <w:rPr>
          <w:b/>
        </w:rPr>
        <w:t>Pharmacotherapy:</w:t>
      </w:r>
      <w:r>
        <w:t xml:space="preserve"> Use </w:t>
      </w:r>
      <w:r>
        <w:rPr>
          <w:b/>
        </w:rPr>
        <w:t>benzodiazepines</w:t>
      </w:r>
      <w:r>
        <w:t xml:space="preserve"> for agitation or seizures. *Avoid antipsychotics with anticholinergic properties (e.g., haloperidol).*</w:t>
      </w:r>
    </w:p>
    <w:p>
      <w:r>
        <w:t xml:space="preserve">*   </w:t>
      </w:r>
      <w:r>
        <w:rPr>
          <w:b/>
        </w:rPr>
        <w:t>Intervention:</w:t>
      </w:r>
      <w:r>
        <w:t xml:space="preserve"> Urinary catheterization for retention.</w:t>
      </w:r>
    </w:p>
    <w:p>
      <w:r>
        <w:t xml:space="preserve">*   </w:t>
      </w:r>
      <w:r>
        <w:rPr>
          <w:b/>
        </w:rPr>
        <w:t>Antidote:</w:t>
      </w:r>
      <w:r>
        <w:t xml:space="preserve"> </w:t>
      </w:r>
      <w:r>
        <w:rPr>
          <w:b/>
        </w:rPr>
        <w:t>Physostigmine</w:t>
      </w:r>
      <w:r>
        <w:t xml:space="preserve"> is reserved for life-threatening cases and must be administered under expert guidance due to risks of bradycardia and seizures.</w:t>
      </w:r>
    </w:p>
    <w:p>
      <w:pPr>
        <w:pStyle w:val="Heading3"/>
      </w:pPr>
      <w:r>
        <w:t>2. Paracetamol Overdose: Timing and NAC Administration</w:t>
      </w:r>
    </w:p>
    <w:p>
      <w:r>
        <w:t>The decision to treat is guided by the plasma paracetamol level plotted on the Rumack-Matthew nomogram.</w:t>
      </w:r>
    </w:p>
    <w:p>
      <w:r>
        <w:t xml:space="preserve">*   </w:t>
      </w:r>
      <w:r>
        <w:rPr>
          <w:b/>
        </w:rPr>
        <w:t>The 4-Hour Rule:</w:t>
      </w:r>
      <w:r>
        <w:t xml:space="preserve"> A reliable paracetamol level can only be measured </w:t>
      </w:r>
      <w:r>
        <w:rPr>
          <w:b/>
        </w:rPr>
        <w:t>≥4 hours</w:t>
      </w:r>
      <w:r>
        <w:t xml:space="preserve"> post-ingestion.</w:t>
      </w:r>
    </w:p>
    <w:p>
      <w:r>
        <w:t xml:space="preserve">*   </w:t>
      </w:r>
      <w:r>
        <w:rPr>
          <w:b/>
        </w:rPr>
        <w:t>Immediate Action:</w:t>
      </w:r>
      <w:r>
        <w:t xml:space="preserve"> If the 4-hour level is above the treatment line, commence </w:t>
      </w:r>
      <w:r>
        <w:rPr>
          <w:b/>
        </w:rPr>
        <w:t>N-acetylcysteine (NAC)</w:t>
      </w:r>
      <w:r>
        <w:t xml:space="preserve"> immediately.</w:t>
      </w:r>
    </w:p>
    <w:p>
      <w:r>
        <w:t xml:space="preserve">*   </w:t>
      </w:r>
      <w:r>
        <w:rPr>
          <w:b/>
        </w:rPr>
        <w:t>The 8-Hour Threshold:</w:t>
      </w:r>
      <w:r>
        <w:t xml:space="preserve"> NAC is most effective when started within 8 hours of ingestion. </w:t>
      </w:r>
      <w:r>
        <w:rPr>
          <w:b/>
        </w:rPr>
        <w:t>Do not wait until the 8-hour mark to test or treat;</w:t>
      </w:r>
      <w:r>
        <w:t xml:space="preserve"> delays beyond 8 hours significantly increase the risk of hepatotoxicity.</w:t>
      </w:r>
    </w:p>
    <w:p>
      <w:r>
        <w:t>---</w:t>
      </w:r>
    </w:p>
    <w:p>
      <w:pPr>
        <w:pStyle w:val="Heading2"/>
      </w:pPr>
      <w:r>
        <w:t>II. Medical Ethics and Conflict Resolution</w:t>
      </w:r>
    </w:p>
    <w:p>
      <w:pPr>
        <w:pStyle w:val="Heading3"/>
      </w:pPr>
      <w:r>
        <w:t>1. Substitute Decision-Maker (SDM) Hierarchy</w:t>
      </w:r>
    </w:p>
    <w:p>
      <w:r>
        <w:t>When a patient lacks capacity, a legal hierarchy determines the SDM.</w:t>
      </w:r>
    </w:p>
    <w:p>
      <w:r>
        <w:t xml:space="preserve">*   </w:t>
      </w:r>
      <w:r>
        <w:rPr>
          <w:b/>
        </w:rPr>
        <w:t>Primary SDM:</w:t>
      </w:r>
      <w:r>
        <w:t xml:space="preserve"> Generally the </w:t>
      </w:r>
      <w:r>
        <w:rPr>
          <w:b/>
        </w:rPr>
        <w:t>spouse or partner</w:t>
      </w:r>
      <w:r>
        <w:t>. Their interpretation of the patient's substituted judgment (what the patient would have wanted) supersedes the views of adult children, including estranged family members.</w:t>
      </w:r>
    </w:p>
    <w:p>
      <w:r>
        <w:t xml:space="preserve">*   </w:t>
      </w:r>
      <w:r>
        <w:rPr>
          <w:b/>
        </w:rPr>
        <w:t>Conflict Resolution:</w:t>
      </w:r>
      <w:r/>
    </w:p>
    <w:p>
      <w:r>
        <w:t xml:space="preserve">1.  </w:t>
      </w:r>
      <w:r>
        <w:rPr>
          <w:b/>
        </w:rPr>
        <w:t>Facilitated Family Meeting:</w:t>
      </w:r>
      <w:r>
        <w:t xml:space="preserve"> The initial step to explore values and seek consensus.</w:t>
      </w:r>
    </w:p>
    <w:p>
      <w:r>
        <w:t xml:space="preserve">2.  </w:t>
      </w:r>
      <w:r>
        <w:rPr>
          <w:b/>
        </w:rPr>
        <w:t>Ethics Committee/Clinical Ethics Consultation:</w:t>
      </w:r>
      <w:r>
        <w:t xml:space="preserve"> Formal multidisciplinary review for irreconcilable conflicts or requests for treatment outside medical standards.</w:t>
      </w:r>
    </w:p>
    <w:p>
      <w:pPr>
        <w:pStyle w:val="Heading3"/>
      </w:pPr>
      <w:r>
        <w:t>2. Identifying Injury Patterns in the Elderly</w:t>
      </w:r>
    </w:p>
    <w:p>
      <w:r>
        <w:t>Clinicians must distinguish between iatrogenic injury, abuse, and neglect:</w:t>
      </w:r>
    </w:p>
    <w:p>
      <w:r>
        <w:t xml:space="preserve">*   </w:t>
      </w:r>
      <w:r>
        <w:rPr>
          <w:b/>
        </w:rPr>
        <w:t>Physical Restraints:</w:t>
      </w:r>
      <w:r>
        <w:t xml:space="preserve"> Symmetrical bruises on wrists/forearms; truncal bruising from belts.</w:t>
      </w:r>
    </w:p>
    <w:p>
      <w:r>
        <w:t xml:space="preserve">*   </w:t>
      </w:r>
      <w:r>
        <w:rPr>
          <w:b/>
        </w:rPr>
        <w:t>Elder Abuse:</w:t>
      </w:r>
      <w:r>
        <w:t xml:space="preserve"> Multiple bruises in varying stages of healing, unexplained fractures, or injuries inconsistent with the provided history.</w:t>
      </w:r>
    </w:p>
    <w:p>
      <w:r>
        <w:t xml:space="preserve">*   </w:t>
      </w:r>
      <w:r>
        <w:rPr>
          <w:b/>
        </w:rPr>
        <w:t>Neglect:</w:t>
      </w:r>
      <w:r>
        <w:t xml:space="preserve"> Evidence of malnutrition, dehydration, pressure sores, or untreated medical conditions.</w:t>
      </w:r>
    </w:p>
    <w:p>
      <w:r>
        <w:t>---</w:t>
      </w:r>
    </w:p>
    <w:p>
      <w:pPr>
        <w:pStyle w:val="Heading2"/>
      </w:pPr>
      <w:r>
        <w:t>III. Genitourinary and Orthopedic Emergencies</w:t>
      </w:r>
    </w:p>
    <w:p>
      <w:pPr>
        <w:pStyle w:val="Heading3"/>
      </w:pPr>
      <w:r>
        <w:t>1. Renal Colic (Ureteric Colic)</w:t>
      </w:r>
    </w:p>
    <w:p>
      <w:r>
        <w:t xml:space="preserve">*   </w:t>
      </w:r>
      <w:r>
        <w:rPr>
          <w:b/>
        </w:rPr>
        <w:t>First-line Imaging:</w:t>
      </w:r>
      <w:r>
        <w:t xml:space="preserve"> </w:t>
      </w:r>
      <w:r>
        <w:rPr>
          <w:b/>
        </w:rPr>
        <w:t>Non-contrast CT KUB</w:t>
      </w:r>
      <w:r>
        <w:t xml:space="preserve"> is the gold standard for adults.</w:t>
      </w:r>
    </w:p>
    <w:p>
      <w:r>
        <w:t xml:space="preserve">*   </w:t>
      </w:r>
      <w:r>
        <w:rPr>
          <w:b/>
        </w:rPr>
        <w:t>Analgesia:</w:t>
      </w:r>
      <w:r>
        <w:t xml:space="preserve"> </w:t>
      </w:r>
      <w:r>
        <w:rPr>
          <w:b/>
        </w:rPr>
        <w:t>NSAIDs</w:t>
      </w:r>
      <w:r>
        <w:t xml:space="preserve"> (e.g., IV/IM ketorolac or PR diclofenac) are superior to opioids as they reduce ureteral smooth muscle spasm.</w:t>
      </w:r>
    </w:p>
    <w:p>
      <w:r>
        <w:t xml:space="preserve">*   </w:t>
      </w:r>
      <w:r>
        <w:rPr>
          <w:b/>
        </w:rPr>
        <w:t>Medical Expulsive Therapy (MET):</w:t>
      </w:r>
      <w:r>
        <w:t xml:space="preserve"> Alpha-blockers (e.g., </w:t>
      </w:r>
      <w:r>
        <w:rPr>
          <w:b/>
        </w:rPr>
        <w:t>tamsulosin</w:t>
      </w:r>
      <w:r>
        <w:t>) may be used for distal stones &gt;5mm.</w:t>
      </w:r>
    </w:p>
    <w:p>
      <w:r>
        <w:t xml:space="preserve">*   </w:t>
      </w:r>
      <w:r>
        <w:rPr>
          <w:b/>
        </w:rPr>
        <w:t>Urgent Urology Referral:</w:t>
      </w:r>
      <w:r>
        <w:t xml:space="preserve"> Indicated for sepsis/fever, solitary kidney obstruction, bilateral obstruction, or intractable pain.</w:t>
      </w:r>
    </w:p>
    <w:p>
      <w:pPr>
        <w:pStyle w:val="Heading3"/>
      </w:pPr>
      <w:r>
        <w:t>2. Cervical Spine: Central Cord Syndrome</w:t>
      </w:r>
    </w:p>
    <w:p>
      <w:r>
        <w:t xml:space="preserve">Often occurring in elderly patients with pre-existing cervical spondylosis following a </w:t>
      </w:r>
      <w:r>
        <w:rPr>
          <w:b/>
        </w:rPr>
        <w:t>hyperextension injury</w:t>
      </w:r>
      <w:r>
        <w:t>.</w:t>
      </w:r>
    </w:p>
    <w:p>
      <w:r>
        <w:t xml:space="preserve">*   </w:t>
      </w:r>
      <w:r>
        <w:rPr>
          <w:b/>
        </w:rPr>
        <w:t>Presentation:</w:t>
      </w:r>
      <w:r>
        <w:t xml:space="preserve"> Characterized by "man in a barrel" syndrome—weakness is significantly </w:t>
      </w:r>
      <w:r>
        <w:rPr>
          <w:b/>
        </w:rPr>
        <w:t>greater in the upper extremities</w:t>
      </w:r>
      <w:r>
        <w:t xml:space="preserve"> than the lower extremities.</w:t>
      </w:r>
    </w:p>
    <w:p>
      <w:r>
        <w:t xml:space="preserve">*   </w:t>
      </w:r>
      <w:r>
        <w:rPr>
          <w:b/>
        </w:rPr>
        <w:t>Assessment:</w:t>
      </w:r>
      <w:r>
        <w:t xml:space="preserve"> Utilize the </w:t>
      </w:r>
      <w:r>
        <w:rPr>
          <w:b/>
        </w:rPr>
        <w:t>Canadian C-Spine Rule (CCR)</w:t>
      </w:r>
      <w:r>
        <w:t xml:space="preserve"> or </w:t>
      </w:r>
      <w:r>
        <w:rPr>
          <w:b/>
        </w:rPr>
        <w:t>NEXUS</w:t>
      </w:r>
      <w:r>
        <w:t xml:space="preserve"> criteria to determine imaging needs. Immediate immobilization is mandatory for all suspected injuries.</w:t>
      </w:r>
    </w:p>
    <w:p>
      <w:r>
        <w:t>---</w:t>
      </w:r>
    </w:p>
    <w:p>
      <w:pPr>
        <w:pStyle w:val="Heading2"/>
      </w:pPr>
      <w:r>
        <w:t>IV. Ingested Foreign Bodies (FB)</w:t>
      </w:r>
    </w:p>
    <w:p>
      <w:r/>
      <w:r>
        <w:rPr>
          <w:b/>
        </w:rPr>
        <w:t>Diagnostic Pathway:</w:t>
      </w:r>
      <w:r/>
    </w:p>
    <w:p>
      <w:r>
        <w:t xml:space="preserve">1.  </w:t>
      </w:r>
      <w:r>
        <w:rPr>
          <w:b/>
        </w:rPr>
        <w:t>Plain X-ray (Neck/CXR):</w:t>
      </w:r>
      <w:r>
        <w:t xml:space="preserve"> First-line investigation, as many bones (e.g., chicken bones) are radiopaque.</w:t>
      </w:r>
    </w:p>
    <w:p>
      <w:r>
        <w:t xml:space="preserve">2.  </w:t>
      </w:r>
      <w:r>
        <w:rPr>
          <w:b/>
        </w:rPr>
        <w:t>Advanced Imaging:</w:t>
      </w:r>
      <w:r>
        <w:t xml:space="preserve"> If X-ray is negative but clinical suspicion remains high, proceed to </w:t>
      </w:r>
      <w:r>
        <w:rPr>
          <w:b/>
        </w:rPr>
        <w:t>CT scan</w:t>
      </w:r>
      <w:r>
        <w:t>.</w:t>
      </w:r>
    </w:p>
    <w:p>
      <w:r/>
      <w:r>
        <w:rPr>
          <w:b/>
        </w:rPr>
        <w:t>Management based on Localization:</w:t>
      </w:r>
      <w:r/>
    </w:p>
    <w:p>
      <w:r>
        <w:t xml:space="preserve">*   </w:t>
      </w:r>
      <w:r>
        <w:rPr>
          <w:b/>
        </w:rPr>
        <w:t>Upper Aerodigestive Tract (e.g., Vallecula, Epiglottis):</w:t>
      </w:r>
      <w:r>
        <w:t xml:space="preserve"> May be amenable to removal via </w:t>
      </w:r>
      <w:r>
        <w:rPr>
          <w:b/>
        </w:rPr>
        <w:t>simple laryngoscopy</w:t>
      </w:r>
      <w:r>
        <w:t>.</w:t>
      </w:r>
    </w:p>
    <w:p>
      <w:r>
        <w:t xml:space="preserve">*   </w:t>
      </w:r>
      <w:r>
        <w:rPr>
          <w:b/>
        </w:rPr>
        <w:t>Lower Tract (e.g., Esophagus, Trachea):</w:t>
      </w:r>
      <w:r>
        <w:t xml:space="preserve"> Requires </w:t>
      </w:r>
      <w:r>
        <w:rPr>
          <w:b/>
        </w:rPr>
        <w:t>rigid or flexible endoscopy</w:t>
      </w:r>
      <w:r>
        <w:t xml:space="preserve"> for retrieval.</w:t>
      </w:r>
    </w:p>
    <w:p>
      <w:r>
        <w:t>---</w:t>
      </w:r>
    </w:p>
    <w:p>
      <w:pPr>
        <w:pStyle w:val="Heading2"/>
      </w:pPr>
      <w:r>
        <w:t>V. AMC Exam Strategy: Question Interpretation</w:t>
      </w:r>
    </w:p>
    <w:p>
      <w:r>
        <w:t>To succeed in the AMC exam, distinguish carefully between these two prompts:</w:t>
      </w:r>
    </w:p>
    <w:p>
      <w:r>
        <w:t xml:space="preserve">*   </w:t>
      </w:r>
      <w:r>
        <w:rPr>
          <w:b/>
        </w:rPr>
        <w:t>"Next appropriate step":</w:t>
      </w:r>
      <w:r>
        <w:t xml:space="preserve"> Focuses on the immediate clinical action (e.g., "stabilize airway" or "order initial imaging").</w:t>
      </w:r>
    </w:p>
    <w:p>
      <w:r>
        <w:t xml:space="preserve">*   </w:t>
      </w:r>
      <w:r>
        <w:rPr>
          <w:b/>
        </w:rPr>
        <w:t>"Best/Definitive step":</w:t>
      </w:r>
      <w:r>
        <w:t xml:space="preserve"> Refers to the "gold standard" diagnostic test or the final curative treatment (e.g., "Biopsy" or "Surgical intervention").</w:t>
      </w:r>
    </w:p>
    <w:p>
      <w:r>
        <w:t>*Always prioritize life-saving interventions (ABCDE) when asked for the "next" step in an unstable patient.*</w:t>
      </w:r>
    </w:p>
    <w:p>
      <w:pPr>
        <w:pStyle w:val="Heading1"/>
      </w:pPr>
      <w:r>
        <w:t>Endocrinology</w:t>
      </w:r>
    </w:p>
    <w:p>
      <w:pPr>
        <w:pStyle w:val="Heading1"/>
      </w:pPr>
      <w:r>
        <w:t>ENDOCRINOLOGY: CLINICAL GUIDELINES AND HIGH-YIELD SUMMARY</w:t>
      </w:r>
    </w:p>
    <w:p>
      <w:pPr>
        <w:pStyle w:val="Heading2"/>
      </w:pPr>
      <w:r>
        <w:t>I. Metabolic Bone Disease: Osteoporosis Management</w:t>
      </w:r>
    </w:p>
    <w:p>
      <w:pPr>
        <w:pStyle w:val="Heading3"/>
      </w:pPr>
      <w:r>
        <w:t>1. Diagnosis and Screening</w:t>
      </w:r>
    </w:p>
    <w:p>
      <w:r>
        <w:t xml:space="preserve">*   </w:t>
      </w:r>
      <w:r>
        <w:rPr>
          <w:b/>
        </w:rPr>
        <w:t>Gold Standard:</w:t>
      </w:r>
      <w:r>
        <w:t xml:space="preserve"> Dual-energy X-ray absorptiometry (DXA) scan to measure Bone Mineral Density (BMD).</w:t>
      </w:r>
    </w:p>
    <w:p>
      <w:r>
        <w:t xml:space="preserve">*   </w:t>
      </w:r>
      <w:r>
        <w:rPr>
          <w:b/>
        </w:rPr>
        <w:t>T-score (Comparison to young adult peak mass):</w:t>
      </w:r>
      <w:r/>
    </w:p>
    <w:p>
      <w:r>
        <w:t xml:space="preserve">*   </w:t>
      </w:r>
      <w:r>
        <w:rPr>
          <w:b/>
        </w:rPr>
        <w:t>Normal:</w:t>
      </w:r>
      <w:r>
        <w:t xml:space="preserve"> ≥ -1.0</w:t>
      </w:r>
    </w:p>
    <w:p>
      <w:r>
        <w:t xml:space="preserve">*   </w:t>
      </w:r>
      <w:r>
        <w:rPr>
          <w:b/>
        </w:rPr>
        <w:t>Osteopenia:</w:t>
      </w:r>
      <w:r>
        <w:t xml:space="preserve"> -1.0 to -2.5</w:t>
      </w:r>
    </w:p>
    <w:p>
      <w:r>
        <w:t xml:space="preserve">*   </w:t>
      </w:r>
      <w:r>
        <w:rPr>
          <w:b/>
        </w:rPr>
        <w:t>Osteoporosis:</w:t>
      </w:r>
      <w:r>
        <w:t xml:space="preserve"> ≤ -2.5</w:t>
      </w:r>
    </w:p>
    <w:p>
      <w:r>
        <w:t xml:space="preserve">*   </w:t>
      </w:r>
      <w:r>
        <w:rPr>
          <w:b/>
        </w:rPr>
        <w:t>Z-score (Comparison to age-matched peers):</w:t>
      </w:r>
      <w:r>
        <w:t xml:space="preserve"> Used for premenopausal women, men &lt;50, and children. A score ≤ -2.0 indicates "low bone density for age."</w:t>
      </w:r>
    </w:p>
    <w:p>
      <w:r>
        <w:t xml:space="preserve">*   </w:t>
      </w:r>
      <w:r>
        <w:rPr>
          <w:b/>
        </w:rPr>
        <w:t>FRAX® Tool:</w:t>
      </w:r>
      <w:r>
        <w:t xml:space="preserve"> Utilized to calculate the 10-year probability of major osteoporotic fractures; guides treatment in osteopenic ranges.</w:t>
      </w:r>
    </w:p>
    <w:p>
      <w:r>
        <w:t xml:space="preserve">*   </w:t>
      </w:r>
      <w:r>
        <w:rPr>
          <w:b/>
        </w:rPr>
        <w:t>Screening (RACGP):</w:t>
      </w:r>
      <w:r>
        <w:t xml:space="preserve"> All women ≥65; men ≥70 (consider); and any adult with a </w:t>
      </w:r>
      <w:r>
        <w:rPr>
          <w:b/>
        </w:rPr>
        <w:t>fragility fracture</w:t>
      </w:r>
      <w:r>
        <w:t>.</w:t>
      </w:r>
    </w:p>
    <w:p>
      <w:pPr>
        <w:pStyle w:val="Heading3"/>
      </w:pPr>
      <w:r>
        <w:t>2. Pre-Treatment Checklist: The Vitamin D Safety Step</w:t>
      </w:r>
    </w:p>
    <w:p>
      <w:r/>
      <w:r>
        <w:rPr>
          <w:b/>
        </w:rPr>
        <w:t>Critical Step:</w:t>
      </w:r>
      <w:r>
        <w:t xml:space="preserve"> Before initiating bisphosphonates, </w:t>
      </w:r>
      <w:r>
        <w:rPr>
          <w:b/>
        </w:rPr>
        <w:t>always check and correct Vitamin D deficiency.</w:t>
      </w:r>
      <w:r/>
    </w:p>
    <w:p>
      <w:r>
        <w:t xml:space="preserve">*   </w:t>
      </w:r>
      <w:r>
        <w:rPr>
          <w:b/>
        </w:rPr>
        <w:t>Rationale:</w:t>
      </w:r>
      <w:r>
        <w:t xml:space="preserve"> Bisphosphonates inhibit bone resorption. In vitamin D-deficient patients, calcium absorption is already impaired; further reducing bone turnover can precipitate </w:t>
      </w:r>
      <w:r>
        <w:rPr>
          <w:b/>
        </w:rPr>
        <w:t>acute symptomatic hypocalcaemia</w:t>
      </w:r>
      <w:r>
        <w:t>.</w:t>
      </w:r>
    </w:p>
    <w:p>
      <w:r>
        <w:t xml:space="preserve">*   </w:t>
      </w:r>
      <w:r>
        <w:rPr>
          <w:b/>
        </w:rPr>
        <w:t>Target:</w:t>
      </w:r>
      <w:r>
        <w:t xml:space="preserve"> Aim for serum 25-hydroxyvitamin D &gt;50 nmol/L (preferably &gt;75 nmol/L) before or concurrently with the first dose.</w:t>
      </w:r>
    </w:p>
    <w:p>
      <w:pPr>
        <w:pStyle w:val="Heading3"/>
      </w:pPr>
      <w:r>
        <w:t>3. Pharmacotherapy Algorithm</w:t>
      </w:r>
    </w:p>
    <w:p>
      <w:r>
        <w:t xml:space="preserve">*   </w:t>
      </w:r>
      <w:r>
        <w:rPr>
          <w:b/>
        </w:rPr>
        <w:t>First-line:</w:t>
      </w:r>
      <w:r>
        <w:t xml:space="preserve"> </w:t>
      </w:r>
      <w:r>
        <w:rPr>
          <w:b/>
        </w:rPr>
        <w:t>Oral Bisphosphonates</w:t>
      </w:r>
      <w:r>
        <w:t xml:space="preserve"> (e.g., Alendronate, Risedronate).</w:t>
      </w:r>
    </w:p>
    <w:p>
      <w:r>
        <w:t>*   *Administration:* Take with a full glass of water, remain upright for 30 minutes, on an empty stomach.</w:t>
      </w:r>
    </w:p>
    <w:p>
      <w:r>
        <w:t xml:space="preserve">*   </w:t>
      </w:r>
      <w:r>
        <w:rPr>
          <w:b/>
        </w:rPr>
        <w:t>Second-line / Alternative Agents:</w:t>
      </w:r>
      <w:r/>
    </w:p>
    <w:p>
      <w:r>
        <w:t xml:space="preserve">*   </w:t>
      </w:r>
      <w:r>
        <w:rPr>
          <w:b/>
        </w:rPr>
        <w:t>IV Bisphosphonates (Zoledronic acid):</w:t>
      </w:r>
      <w:r>
        <w:t xml:space="preserve"> Indicated if oral therapy is not tolerated (GI issues), malabsorption is present, or for poor compliance (annual infusion).</w:t>
      </w:r>
    </w:p>
    <w:p>
      <w:r>
        <w:t xml:space="preserve">*   </w:t>
      </w:r>
      <w:r>
        <w:rPr>
          <w:b/>
        </w:rPr>
        <w:t>Denosumab (SC 6-monthly):</w:t>
      </w:r>
      <w:r>
        <w:t xml:space="preserve"> Preferred in </w:t>
      </w:r>
      <w:r>
        <w:rPr>
          <w:b/>
        </w:rPr>
        <w:t>CKD stages 4–5</w:t>
      </w:r>
      <w:r>
        <w:t xml:space="preserve"> (eGFR &lt;30) where bisphosphonates are contraindicated. *Warning:* Do not stop without follow-on therapy due to rebound fracture risk.</w:t>
      </w:r>
    </w:p>
    <w:p>
      <w:r>
        <w:t xml:space="preserve">*   </w:t>
      </w:r>
      <w:r>
        <w:rPr>
          <w:b/>
        </w:rPr>
        <w:t>Teriparatide:</w:t>
      </w:r>
      <w:r>
        <w:t xml:space="preserve"> Reserved for severe osteoporosis with fractures despite therapy.</w:t>
      </w:r>
    </w:p>
    <w:p>
      <w:pPr>
        <w:pStyle w:val="Heading3"/>
      </w:pPr>
      <w:r>
        <w:t>4. AMC High-Yield Pearls</w:t>
      </w:r>
    </w:p>
    <w:p>
      <w:r>
        <w:t xml:space="preserve">*   </w:t>
      </w:r>
      <w:r>
        <w:rPr>
          <w:b/>
        </w:rPr>
        <w:t>Fragility Fractures:</w:t>
      </w:r>
      <w:r>
        <w:t xml:space="preserve"> In elderly patients with hip or vertebral fractures, pharmacotherapy can be initiated </w:t>
      </w:r>
      <w:r>
        <w:rPr>
          <w:b/>
        </w:rPr>
        <w:t>without waiting for DXA results</w:t>
      </w:r>
      <w:r>
        <w:t>, as the fracture confirms high risk.</w:t>
      </w:r>
    </w:p>
    <w:p>
      <w:r>
        <w:t xml:space="preserve">*   </w:t>
      </w:r>
      <w:r>
        <w:rPr>
          <w:b/>
        </w:rPr>
        <w:t>Secondary Causes:</w:t>
      </w:r>
      <w:r>
        <w:t xml:space="preserve"> Always screen for glucocorticoid use (&gt;3 months), hyperthyroidism, malabsorption (Coeliac), and hypogonadism.</w:t>
      </w:r>
    </w:p>
    <w:p>
      <w:r>
        <w:t xml:space="preserve">*   </w:t>
      </w:r>
      <w:r>
        <w:rPr>
          <w:b/>
        </w:rPr>
        <w:t>Glucocorticoid-Induced:</w:t>
      </w:r>
      <w:r>
        <w:t xml:space="preserve"> Start bone protection if prednisolone ≥7.5mg/day is planned for ≥3 months.</w:t>
      </w:r>
    </w:p>
    <w:p>
      <w:r>
        <w:t xml:space="preserve">*   </w:t>
      </w:r>
      <w:r>
        <w:rPr>
          <w:b/>
        </w:rPr>
        <w:t>Adverse Effects:</w:t>
      </w:r>
      <w:r>
        <w:t xml:space="preserve"> Long-term bisphosphonate use (&gt;5 years) is associated with </w:t>
      </w:r>
      <w:r>
        <w:rPr>
          <w:b/>
        </w:rPr>
        <w:t>atypical femoral fractures</w:t>
      </w:r>
      <w:r>
        <w:t xml:space="preserve"> and (rarely) osteonecrosis of the jaw.</w:t>
      </w:r>
    </w:p>
    <w:p>
      <w:r>
        <w:t>---</w:t>
      </w:r>
    </w:p>
    <w:p>
      <w:pPr>
        <w:pStyle w:val="Heading2"/>
      </w:pPr>
      <w:r>
        <w:t>II. Thyroid Disorders</w:t>
      </w:r>
    </w:p>
    <w:p>
      <w:pPr>
        <w:pStyle w:val="Heading3"/>
      </w:pPr>
      <w:r>
        <w:t>1. Initial Assessment</w:t>
      </w:r>
    </w:p>
    <w:p>
      <w:r>
        <w:t xml:space="preserve">*   </w:t>
      </w:r>
      <w:r>
        <w:rPr>
          <w:b/>
        </w:rPr>
        <w:t>Thyroid Stimulating Hormone (TSH):</w:t>
      </w:r>
      <w:r>
        <w:t xml:space="preserve"> The most sensitive initial test.</w:t>
      </w:r>
    </w:p>
    <w:p>
      <w:r>
        <w:t xml:space="preserve">*   </w:t>
      </w:r>
      <w:r>
        <w:rPr>
          <w:b/>
        </w:rPr>
        <w:t>Stepwise approach:</w:t>
      </w:r>
      <w:r>
        <w:t xml:space="preserve"> If TSH is abnormal, reflex to Free T4 (and T3 for hyperthyroidism) to differentiate primary vs. secondary and overt vs. subclinical disease.</w:t>
      </w:r>
    </w:p>
    <w:p>
      <w:pPr>
        <w:pStyle w:val="Heading3"/>
      </w:pPr>
      <w:r>
        <w:t>2. Etiologies of Thyrotoxicosis</w:t>
      </w:r>
    </w:p>
    <w:p>
      <w:r>
        <w:t xml:space="preserve">1.  </w:t>
      </w:r>
      <w:r>
        <w:rPr>
          <w:b/>
        </w:rPr>
        <w:t>Graves’ Disease (60–80%):</w:t>
      </w:r>
      <w:r>
        <w:t xml:space="preserve"> Autoimmune; TSH-receptor antibodies (TRAb) stimulate the gland.</w:t>
      </w:r>
    </w:p>
    <w:p>
      <w:r>
        <w:t xml:space="preserve">2.  </w:t>
      </w:r>
      <w:r>
        <w:rPr>
          <w:b/>
        </w:rPr>
        <w:t>Toxic Multinodular Goitre (15–20%):</w:t>
      </w:r>
      <w:r>
        <w:t xml:space="preserve"> Autonomous nodules.</w:t>
      </w:r>
    </w:p>
    <w:p>
      <w:r>
        <w:t xml:space="preserve">3.  </w:t>
      </w:r>
      <w:r>
        <w:rPr>
          <w:b/>
        </w:rPr>
        <w:t>Toxic Adenoma (Plummer’s):</w:t>
      </w:r>
      <w:r>
        <w:t xml:space="preserve"> Single hyperfunctioning nodule.</w:t>
      </w:r>
    </w:p>
    <w:p>
      <w:r>
        <w:t xml:space="preserve">4.  </w:t>
      </w:r>
      <w:r>
        <w:rPr>
          <w:b/>
        </w:rPr>
        <w:t>Thyroiditis (de Quervain’s/Postpartum):</w:t>
      </w:r>
      <w:r>
        <w:t xml:space="preserve"> Inflammation causes release of preformed T3/T4. Presents with a thyrotoxic phase followed by a hypothyroid phase.</w:t>
      </w:r>
    </w:p>
    <w:p>
      <w:r>
        <w:t xml:space="preserve">5.  </w:t>
      </w:r>
      <w:r>
        <w:rPr>
          <w:b/>
        </w:rPr>
        <w:t>Amiodarone-Induced:</w:t>
      </w:r>
      <w:r>
        <w:t xml:space="preserve"> Type 1 (iodine excess) or Type 2 (destructive thyroiditis). </w:t>
      </w:r>
      <w:r>
        <w:rPr>
          <w:b/>
        </w:rPr>
        <w:t>Must monitor TFTs in all patients on amiodarone.</w:t>
      </w:r>
      <w:r/>
    </w:p>
    <w:p>
      <w:r>
        <w:t xml:space="preserve">6.  </w:t>
      </w:r>
      <w:r>
        <w:rPr>
          <w:b/>
        </w:rPr>
        <w:t>Thyrotoxicosis Factitia:</w:t>
      </w:r>
      <w:r>
        <w:t xml:space="preserve"> Exogenous hormone ingestion. Clue: </w:t>
      </w:r>
      <w:r>
        <w:rPr>
          <w:b/>
        </w:rPr>
        <w:t>Low thyroglobulin levels.</w:t>
      </w:r>
      <w:r/>
    </w:p>
    <w:p>
      <w:pPr>
        <w:pStyle w:val="Heading3"/>
      </w:pPr>
      <w:r>
        <w:t>3. Clinical Management: Levothyroxine (Thyroxine)</w:t>
      </w:r>
    </w:p>
    <w:p>
      <w:r>
        <w:t xml:space="preserve">*   </w:t>
      </w:r>
      <w:r>
        <w:rPr>
          <w:b/>
        </w:rPr>
        <w:t>Absorption:</w:t>
      </w:r>
      <w:r>
        <w:t xml:space="preserve"> Must be taken on an empty stomach, 30–60 minutes before food/caffeine.</w:t>
      </w:r>
    </w:p>
    <w:p>
      <w:r>
        <w:t xml:space="preserve">*   </w:t>
      </w:r>
      <w:r>
        <w:rPr>
          <w:b/>
        </w:rPr>
        <w:t>Ramadan Protocols:</w:t>
      </w:r>
      <w:r/>
    </w:p>
    <w:p>
      <w:r>
        <w:t>*   *Option A:* 30–60 minutes before Suhoor.</w:t>
      </w:r>
    </w:p>
    <w:p>
      <w:r>
        <w:t>*   *Option B:* At night, 3–4 hours after the last meal (Iftar).</w:t>
      </w:r>
    </w:p>
    <w:p>
      <w:r>
        <w:t xml:space="preserve">*   </w:t>
      </w:r>
      <w:r>
        <w:rPr>
          <w:b/>
        </w:rPr>
        <w:t>Interactions:</w:t>
      </w:r>
      <w:r>
        <w:t xml:space="preserve"> Avoid co-administration with iron, calcium, or antacids (space by 4 hours).</w:t>
      </w:r>
    </w:p>
    <w:p>
      <w:r>
        <w:t>---</w:t>
      </w:r>
    </w:p>
    <w:p>
      <w:pPr>
        <w:pStyle w:val="Heading2"/>
      </w:pPr>
      <w:r>
        <w:t>III. Type 2 Diabetes Mellitus (T2DM)</w:t>
      </w:r>
    </w:p>
    <w:p>
      <w:pPr>
        <w:pStyle w:val="Heading3"/>
      </w:pPr>
      <w:r>
        <w:t>1. Stepwise Intensification</w:t>
      </w:r>
    </w:p>
    <w:p>
      <w:r>
        <w:t xml:space="preserve">*   </w:t>
      </w:r>
      <w:r>
        <w:rPr>
          <w:b/>
        </w:rPr>
        <w:t>First-line:</w:t>
      </w:r>
      <w:r>
        <w:t xml:space="preserve"> Lifestyle modification + </w:t>
      </w:r>
      <w:r>
        <w:rPr>
          <w:b/>
        </w:rPr>
        <w:t>Metformin</w:t>
      </w:r>
      <w:r>
        <w:t>.</w:t>
      </w:r>
    </w:p>
    <w:p>
      <w:r>
        <w:t xml:space="preserve">*   </w:t>
      </w:r>
      <w:r>
        <w:rPr>
          <w:b/>
        </w:rPr>
        <w:t>Step-Up (Second agent):</w:t>
      </w:r>
      <w:r/>
    </w:p>
    <w:p>
      <w:r>
        <w:t xml:space="preserve">*   </w:t>
      </w:r>
      <w:r>
        <w:rPr>
          <w:b/>
        </w:rPr>
        <w:t>CV Disease / Heart Failure / CKD:</w:t>
      </w:r>
      <w:r>
        <w:t xml:space="preserve"> Prioritize </w:t>
      </w:r>
      <w:r>
        <w:rPr>
          <w:b/>
        </w:rPr>
        <w:t>SGLT2 inhibitors</w:t>
      </w:r>
      <w:r>
        <w:t xml:space="preserve"> (e.g., Empagliflozin) or </w:t>
      </w:r>
      <w:r>
        <w:rPr>
          <w:b/>
        </w:rPr>
        <w:t>GLP-1 RAs</w:t>
      </w:r>
      <w:r>
        <w:t xml:space="preserve"> (e.g., Semaglutide).</w:t>
      </w:r>
    </w:p>
    <w:p>
      <w:r>
        <w:t xml:space="preserve">*   </w:t>
      </w:r>
      <w:r>
        <w:rPr>
          <w:b/>
        </w:rPr>
        <w:t>Weight Loss focus:</w:t>
      </w:r>
      <w:r>
        <w:t xml:space="preserve"> GLP-1 RAs or SGLT2 inhibitors.</w:t>
      </w:r>
    </w:p>
    <w:p>
      <w:r>
        <w:t xml:space="preserve">*   </w:t>
      </w:r>
      <w:r>
        <w:rPr>
          <w:b/>
        </w:rPr>
        <w:t>Hypoglycemia Risk:</w:t>
      </w:r>
      <w:r>
        <w:t xml:space="preserve"> Avoid Sulfonylureas; use DPP-4i, SGLT2i, or GLP-1 RAs.</w:t>
      </w:r>
    </w:p>
    <w:p>
      <w:pPr>
        <w:pStyle w:val="Heading3"/>
      </w:pPr>
      <w:r>
        <w:t>2. Management in Chronic Kidney Disease (NICE Guidelines)</w:t>
      </w:r>
    </w:p>
    <w:p>
      <w:r>
        <w:t xml:space="preserve">*   </w:t>
      </w:r>
      <w:r>
        <w:rPr>
          <w:b/>
        </w:rPr>
        <w:t>eGFR &gt;30:</w:t>
      </w:r>
      <w:r>
        <w:t xml:space="preserve"> Metformin + SGLT2 inhibitor.</w:t>
      </w:r>
    </w:p>
    <w:p>
      <w:r>
        <w:t xml:space="preserve">*   </w:t>
      </w:r>
      <w:r>
        <w:rPr>
          <w:b/>
        </w:rPr>
        <w:t>eGFR 20–30:</w:t>
      </w:r>
      <w:r>
        <w:t xml:space="preserve"> SGLT2 inhibitor (Dapagliflozin/Empagliflozin) + DPP-4 inhibitor.</w:t>
      </w:r>
    </w:p>
    <w:p>
      <w:r>
        <w:t xml:space="preserve">*   </w:t>
      </w:r>
      <w:r>
        <w:rPr>
          <w:b/>
        </w:rPr>
        <w:t>eGFR &lt;20:</w:t>
      </w:r>
      <w:r>
        <w:t xml:space="preserve"> Consider DPP-4 inhibitor; if unsuitable, use Pioglitazone or Insulin.</w:t>
      </w:r>
    </w:p>
    <w:p>
      <w:pPr>
        <w:pStyle w:val="Heading3"/>
      </w:pPr>
      <w:r>
        <w:t>3. Step-Down Therapy (De-intensification)</w:t>
      </w:r>
    </w:p>
    <w:p>
      <w:r>
        <w:t xml:space="preserve">*   Consider when HbA1c is stable for 3–6 months </w:t>
      </w:r>
      <w:r>
        <w:rPr>
          <w:b/>
        </w:rPr>
        <w:t>and</w:t>
      </w:r>
      <w:r>
        <w:t xml:space="preserve"> there is a high risk of hypoglycemia (elderly, frail) or high treatment burden.</w:t>
      </w:r>
    </w:p>
    <w:p>
      <w:r>
        <w:t>---</w:t>
      </w:r>
    </w:p>
    <w:p>
      <w:pPr>
        <w:pStyle w:val="Heading2"/>
      </w:pPr>
      <w:r>
        <w:t>IV. Hereditary Haemochromatosis (HFE Gene)</w:t>
      </w:r>
    </w:p>
    <w:p>
      <w:r>
        <w:t xml:space="preserve">*   </w:t>
      </w:r>
      <w:r>
        <w:rPr>
          <w:b/>
        </w:rPr>
        <w:t>Pathophysiology:</w:t>
      </w:r>
      <w:r>
        <w:t xml:space="preserve"> Autosomal recessive mutation (C282Y/H63D) leading to decreased </w:t>
      </w:r>
      <w:r>
        <w:rPr>
          <w:b/>
        </w:rPr>
        <w:t>hepcidin</w:t>
      </w:r>
      <w:r>
        <w:t>, causing unregulated intestinal iron absorption.</w:t>
      </w:r>
    </w:p>
    <w:p>
      <w:r>
        <w:t xml:space="preserve">*   </w:t>
      </w:r>
      <w:r>
        <w:rPr>
          <w:b/>
        </w:rPr>
        <w:t>Classic Clinical Triad:</w:t>
      </w:r>
      <w:r/>
    </w:p>
    <w:p>
      <w:r>
        <w:t xml:space="preserve">1.  </w:t>
      </w:r>
      <w:r>
        <w:rPr>
          <w:b/>
        </w:rPr>
        <w:t>Cirrhosis</w:t>
      </w:r>
      <w:r/>
    </w:p>
    <w:p>
      <w:r>
        <w:t xml:space="preserve">2.  </w:t>
      </w:r>
      <w:r>
        <w:rPr>
          <w:b/>
        </w:rPr>
        <w:t>Diabetes Mellitus</w:t>
      </w:r>
      <w:r>
        <w:t xml:space="preserve"> ("Bronze Diabetes")</w:t>
      </w:r>
    </w:p>
    <w:p>
      <w:r>
        <w:t xml:space="preserve">3.  </w:t>
      </w:r>
      <w:r>
        <w:rPr>
          <w:b/>
        </w:rPr>
        <w:t>Skin Hyperpigmentation</w:t>
      </w:r>
      <w:r>
        <w:t xml:space="preserve"> (Bronze/Grey hue)</w:t>
      </w:r>
    </w:p>
    <w:p>
      <w:r>
        <w:t xml:space="preserve">*   </w:t>
      </w:r>
      <w:r>
        <w:rPr>
          <w:b/>
        </w:rPr>
        <w:t>Other Features:</w:t>
      </w:r>
      <w:r>
        <w:t xml:space="preserve"> Arthropathy (2nd/3rd MCP joints), cardiomyopathy, and hypogonadism.</w:t>
      </w:r>
    </w:p>
    <w:p>
      <w:r>
        <w:t xml:space="preserve">*   </w:t>
      </w:r>
      <w:r>
        <w:rPr>
          <w:b/>
        </w:rPr>
        <w:t>Diagnosis:</w:t>
      </w:r>
      <w:r>
        <w:t xml:space="preserve"> Elevated transferrin saturation (&gt;45%) and ferritin; confirmed via </w:t>
      </w:r>
      <w:r>
        <w:rPr>
          <w:b/>
        </w:rPr>
        <w:t>HFE gene testing</w:t>
      </w:r>
      <w:r>
        <w:t>.</w:t>
      </w:r>
    </w:p>
    <w:p>
      <w:r>
        <w:t xml:space="preserve">*   </w:t>
      </w:r>
      <w:r>
        <w:rPr>
          <w:b/>
        </w:rPr>
        <w:t>Management:</w:t>
      </w:r>
      <w:r>
        <w:t xml:space="preserve"> Regular therapeutic venesection.</w:t>
      </w:r>
    </w:p>
    <w:p>
      <w:r>
        <w:t>---</w:t>
      </w:r>
    </w:p>
    <w:p>
      <w:pPr>
        <w:pStyle w:val="Heading2"/>
      </w:pPr>
      <w:r>
        <w:t>V. Electrolyte and Adrenal High-Yields</w:t>
      </w:r>
    </w:p>
    <w:p>
      <w:pPr>
        <w:pStyle w:val="Heading3"/>
      </w:pPr>
      <w:r>
        <w:t>1. The "Hypo" Cheat Sheet</w:t>
      </w:r>
    </w:p>
    <w:p>
      <w:r>
        <w:t xml:space="preserve">*   </w:t>
      </w:r>
      <w:r>
        <w:rPr>
          <w:b/>
        </w:rPr>
        <w:t>Hypoglycemia:</w:t>
      </w:r>
      <w:r>
        <w:t xml:space="preserve"> BG &lt;70 mg/dL; treat with 15g fast-acting carbs (15-15 rule).</w:t>
      </w:r>
    </w:p>
    <w:p>
      <w:r>
        <w:t xml:space="preserve">*   </w:t>
      </w:r>
      <w:r>
        <w:rPr>
          <w:b/>
        </w:rPr>
        <w:t>Hypokalemia:</w:t>
      </w:r>
      <w:r>
        <w:t xml:space="preserve"> Flattened T-waves/U-waves. </w:t>
      </w:r>
      <w:r>
        <w:rPr>
          <w:b/>
        </w:rPr>
        <w:t>Never rapid IV K+</w:t>
      </w:r>
      <w:r>
        <w:t>.</w:t>
      </w:r>
    </w:p>
    <w:p>
      <w:r>
        <w:t xml:space="preserve">*   </w:t>
      </w:r>
      <w:r>
        <w:rPr>
          <w:b/>
        </w:rPr>
        <w:t>Hypocalcemia:</w:t>
      </w:r>
      <w:r>
        <w:t xml:space="preserve"> Chvostek’s/Trousseau’s signs; prolonged QT interval.</w:t>
      </w:r>
    </w:p>
    <w:p>
      <w:r>
        <w:t xml:space="preserve">*   </w:t>
      </w:r>
      <w:r>
        <w:rPr>
          <w:b/>
        </w:rPr>
        <w:t>Hyponatremia:</w:t>
      </w:r>
      <w:r>
        <w:t xml:space="preserve"> Correct </w:t>
      </w:r>
      <w:r>
        <w:rPr>
          <w:b/>
        </w:rPr>
        <w:t>slowly</w:t>
      </w:r>
      <w:r>
        <w:t xml:space="preserve"> to prevent Osmotic Demyelination Syndrome.</w:t>
      </w:r>
    </w:p>
    <w:p>
      <w:r>
        <w:t xml:space="preserve">*   </w:t>
      </w:r>
      <w:r>
        <w:rPr>
          <w:b/>
        </w:rPr>
        <w:t>Hypophosphatemia:</w:t>
      </w:r>
      <w:r>
        <w:t xml:space="preserve"> Associated with </w:t>
      </w:r>
      <w:r>
        <w:rPr>
          <w:b/>
        </w:rPr>
        <w:t>Refeeding Syndrome</w:t>
      </w:r>
      <w:r>
        <w:t>.</w:t>
      </w:r>
    </w:p>
    <w:p>
      <w:pPr>
        <w:pStyle w:val="Heading3"/>
      </w:pPr>
      <w:r>
        <w:t>2. Conn’s Syndrome (Primary Hyperaldosteronism)</w:t>
      </w:r>
    </w:p>
    <w:p>
      <w:r>
        <w:t xml:space="preserve">*   </w:t>
      </w:r>
      <w:r>
        <w:rPr>
          <w:b/>
        </w:rPr>
        <w:t>Presentation:</w:t>
      </w:r>
      <w:r>
        <w:t xml:space="preserve"> Resistant hypertension + hypokalemia + metabolic alkalosis.</w:t>
      </w:r>
    </w:p>
    <w:p>
      <w:r>
        <w:t xml:space="preserve">*   </w:t>
      </w:r>
      <w:r>
        <w:rPr>
          <w:b/>
        </w:rPr>
        <w:t>Screening:</w:t>
      </w:r>
      <w:r>
        <w:t xml:space="preserve"> Aldosterone-to-Renin Ratio (ARR) — High aldosterone, low renin.</w:t>
      </w:r>
    </w:p>
    <w:p>
      <w:r>
        <w:t xml:space="preserve">*   </w:t>
      </w:r>
      <w:r>
        <w:rPr>
          <w:b/>
        </w:rPr>
        <w:t>Management:</w:t>
      </w:r>
      <w:r>
        <w:t xml:space="preserve"> Adrenal CT to locate adenoma; treatment via spironolactone or surgical adrenalectomy.</w:t>
      </w:r>
    </w:p>
    <w:p>
      <w:r>
        <w:t>---</w:t>
      </w:r>
    </w:p>
    <w:p>
      <w:pPr>
        <w:pStyle w:val="Heading2"/>
      </w:pPr>
      <w:r>
        <w:t>VI. Miscellaneous Clinical Pearls</w:t>
      </w:r>
    </w:p>
    <w:p>
      <w:r>
        <w:t xml:space="preserve">*   </w:t>
      </w:r>
      <w:r>
        <w:rPr>
          <w:b/>
        </w:rPr>
        <w:t>Statins &amp; Liver Enzymes:</w:t>
      </w:r>
      <w:r>
        <w:t xml:space="preserve"> Mild, asymptomatic elevations in ALT/AST are common. Do </w:t>
      </w:r>
      <w:r>
        <w:rPr>
          <w:b/>
        </w:rPr>
        <w:t>not</w:t>
      </w:r>
      <w:r>
        <w:t xml:space="preserve"> discontinue unless transaminases are </w:t>
      </w:r>
      <w:r>
        <w:rPr>
          <w:b/>
        </w:rPr>
        <w:t>&gt;3x the upper limit of normal</w:t>
      </w:r>
      <w:r>
        <w:t xml:space="preserve"> on two consecutive tests.</w:t>
      </w:r>
    </w:p>
    <w:p>
      <w:r>
        <w:t xml:space="preserve">*   </w:t>
      </w:r>
      <w:r>
        <w:rPr>
          <w:b/>
        </w:rPr>
        <w:t>Kidney Stone Management:</w:t>
      </w:r>
      <w:r/>
    </w:p>
    <w:p>
      <w:r>
        <w:t xml:space="preserve">*   </w:t>
      </w:r>
      <w:r>
        <w:rPr>
          <w:b/>
        </w:rPr>
        <w:t>Imaging:</w:t>
      </w:r>
      <w:r>
        <w:t xml:space="preserve"> Non-contrast CT KUB (Gold Standard).</w:t>
      </w:r>
    </w:p>
    <w:p>
      <w:r>
        <w:t xml:space="preserve">*   </w:t>
      </w:r>
      <w:r>
        <w:rPr>
          <w:b/>
        </w:rPr>
        <w:t>Acute Pain:</w:t>
      </w:r>
      <w:r>
        <w:t xml:space="preserve"> NSAIDs (e.g., Diclofenac PR) are first-line.</w:t>
      </w:r>
    </w:p>
    <w:p>
      <w:r>
        <w:t xml:space="preserve">*   </w:t>
      </w:r>
      <w:r>
        <w:rPr>
          <w:b/>
        </w:rPr>
        <w:t>Size-Based Action:</w:t>
      </w:r>
      <w:r/>
    </w:p>
    <w:p>
      <w:r>
        <w:t>*   &lt;5mm: Spontaneous passage (conservative).</w:t>
      </w:r>
    </w:p>
    <w:p>
      <w:r>
        <w:t>*   5–10mm: Medical Expulsive Therapy (Tamsulosin).</w:t>
      </w:r>
    </w:p>
    <w:p>
      <w:r>
        <w:t>*   &gt;10mm: Intervention (ESWL/PCNL).</w:t>
      </w:r>
    </w:p>
    <w:p>
      <w:r>
        <w:t xml:space="preserve">*   </w:t>
      </w:r>
      <w:r>
        <w:rPr>
          <w:b/>
        </w:rPr>
        <w:t>Urgent Intervention:</w:t>
      </w:r>
      <w:r>
        <w:t xml:space="preserve"> Required if fever/sepsis, solitary kidney, or intractable pain.</w:t>
      </w:r>
    </w:p>
    <w:p>
      <w:pPr>
        <w:pStyle w:val="Heading1"/>
      </w:pPr>
      <w:r>
        <w:t>Ethics</w:t>
      </w:r>
    </w:p>
    <w:p>
      <w:pPr>
        <w:pStyle w:val="Heading1"/>
      </w:pPr>
      <w:r>
        <w:t>Medical Ethics: Ethics Committee Consultation and Conflict Resolution</w:t>
      </w:r>
    </w:p>
    <w:p>
      <w:pPr>
        <w:pStyle w:val="Heading2"/>
      </w:pPr>
      <w:r>
        <w:t>Overview</w:t>
      </w:r>
    </w:p>
    <w:p>
      <w:r>
        <w:t xml:space="preserve">In clinical practice, decision-making for patients lacking capacity is guided by the patient’s prior expressed wishes or the determinations of a </w:t>
      </w:r>
      <w:r>
        <w:rPr>
          <w:b/>
        </w:rPr>
        <w:t>Substitute Decision-Maker (SDM)</w:t>
      </w:r>
      <w:r>
        <w:t>. However, when clarity is lacking or conflict arises, formal ethics consultation serves as a critical intermediary step to ensure patient-centered care and legal compliance.</w:t>
      </w:r>
    </w:p>
    <w:p>
      <w:pPr>
        <w:pStyle w:val="Heading2"/>
      </w:pPr>
      <w:r>
        <w:t>Indications for Ethics Committee Consultation</w:t>
      </w:r>
    </w:p>
    <w:p>
      <w:r>
        <w:t>Consultation with a hospital’s clinical ethics committee or legal team is indicated in the following high-stakes scenarios:</w:t>
      </w:r>
    </w:p>
    <w:p>
      <w:r>
        <w:t xml:space="preserve">*   </w:t>
      </w:r>
      <w:r>
        <w:rPr>
          <w:b/>
        </w:rPr>
        <w:t>Uncertainty of Patient Wishes:</w:t>
      </w:r>
      <w:r>
        <w:t xml:space="preserve"> When the SDM (e.g., family member, legal guardian) is unsure of the patient’s previously expressed values or treatment preferences.</w:t>
      </w:r>
    </w:p>
    <w:p>
      <w:r>
        <w:t xml:space="preserve">*   </w:t>
      </w:r>
      <w:r>
        <w:rPr>
          <w:b/>
        </w:rPr>
        <w:t>Intractable Conflict:</w:t>
      </w:r>
      <w:r>
        <w:t xml:space="preserve"> When there is a fundamental disagreement between the healthcare team’s recommendations and the family’s views regarding the goals of care.</w:t>
      </w:r>
    </w:p>
    <w:p>
      <w:r>
        <w:t xml:space="preserve">*   </w:t>
      </w:r>
      <w:r>
        <w:rPr>
          <w:b/>
        </w:rPr>
        <w:t>End-of-Life (EOL) Transitions:</w:t>
      </w:r>
      <w:r>
        <w:t xml:space="preserve"> Decisions involving the withdrawal or withholding of life-sustaining treatment where consensus cannot be reached.</w:t>
      </w:r>
    </w:p>
    <w:p>
      <w:r>
        <w:t xml:space="preserve">*   </w:t>
      </w:r>
      <w:r>
        <w:rPr>
          <w:b/>
        </w:rPr>
        <w:t>Substituted Judgment Discrepancies:</w:t>
      </w:r>
      <w:r>
        <w:t xml:space="preserve"> When the SDM's decisions appear to contradict the patient's known values or fail to meet the "best interests" standard.</w:t>
      </w:r>
    </w:p>
    <w:p>
      <w:pPr>
        <w:pStyle w:val="Heading2"/>
      </w:pPr>
      <w:r>
        <w:t>Core Ethical Frameworks</w:t>
      </w:r>
    </w:p>
    <w:p>
      <w:r>
        <w:t>The consultation process is designed to navigate the following principles:</w:t>
      </w:r>
    </w:p>
    <w:p>
      <w:r>
        <w:t xml:space="preserve">1.  </w:t>
      </w:r>
      <w:r>
        <w:rPr>
          <w:b/>
        </w:rPr>
        <w:t>Respect for Autonomy (Substituted Judgment):</w:t>
      </w:r>
      <w:r>
        <w:t xml:space="preserve"> The primary goal is to determine what the patient would have wanted for themselves if they had the capacity to decide.</w:t>
      </w:r>
    </w:p>
    <w:p>
      <w:r>
        <w:t xml:space="preserve">2.  </w:t>
      </w:r>
      <w:r>
        <w:rPr>
          <w:b/>
        </w:rPr>
        <w:t>Best Interests Standard:</w:t>
      </w:r>
      <w:r>
        <w:t xml:space="preserve"> If the patient’s wishes are entirely unknown, the committee evaluates the benefits and burdens of treatment to determine the most humane and medically appropriate course of action.</w:t>
      </w:r>
    </w:p>
    <w:p>
      <w:r>
        <w:t xml:space="preserve">3.  </w:t>
      </w:r>
      <w:r>
        <w:rPr>
          <w:b/>
        </w:rPr>
        <w:t>Beneficence and Non-maleficence:</w:t>
      </w:r>
      <w:r>
        <w:t xml:space="preserve"> Ensuring that treatment does not result in "medical futility" or cause unnecessary suffering that outweighs potential clinical gains.</w:t>
      </w:r>
    </w:p>
    <w:p>
      <w:pPr>
        <w:pStyle w:val="Heading2"/>
      </w:pPr>
      <w:r>
        <w:t>High-Yield Clinical Pearls for the AMC Exam</w:t>
      </w:r>
    </w:p>
    <w:p>
      <w:r>
        <w:t xml:space="preserve">*   </w:t>
      </w:r>
      <w:r>
        <w:rPr>
          <w:b/>
        </w:rPr>
        <w:t>First Step - Communication:</w:t>
      </w:r>
      <w:r>
        <w:t xml:space="preserve"> Always attempt to resolve conflicts via multidisciplinary family meetings and clear communication before escalating to an ethics committee.</w:t>
      </w:r>
    </w:p>
    <w:p>
      <w:r>
        <w:t xml:space="preserve">*   </w:t>
      </w:r>
      <w:r>
        <w:rPr>
          <w:b/>
        </w:rPr>
        <w:t>The Role of the Committee:</w:t>
      </w:r>
      <w:r>
        <w:t xml:space="preserve"> The ethics committee is generally </w:t>
      </w:r>
      <w:r>
        <w:rPr>
          <w:b/>
        </w:rPr>
        <w:t>advisory</w:t>
      </w:r>
      <w:r>
        <w:t>, not a judicial body. It facilitates mediation and provides a structured ethical framework for the treating team.</w:t>
      </w:r>
    </w:p>
    <w:p>
      <w:r>
        <w:t xml:space="preserve">*   </w:t>
      </w:r>
      <w:r>
        <w:rPr>
          <w:b/>
        </w:rPr>
        <w:t>Legal Recourse:</w:t>
      </w:r>
      <w:r>
        <w:t xml:space="preserve"> If an ethics committee consultation fails to resolve a conflict regarding life-sustaining treatment, the next step is often a formal application to a state-based administrative tribunal (e.g., </w:t>
      </w:r>
      <w:r>
        <w:rPr>
          <w:b/>
        </w:rPr>
        <w:t>NCAT, VCAT, QCAT</w:t>
      </w:r>
      <w:r>
        <w:t>) or the Supreme Court for a definitive ruling.</w:t>
      </w:r>
    </w:p>
    <w:p>
      <w:r>
        <w:t xml:space="preserve">*   </w:t>
      </w:r>
      <w:r>
        <w:rPr>
          <w:b/>
        </w:rPr>
        <w:t>Documentation:</w:t>
      </w:r>
      <w:r>
        <w:t xml:space="preserve"> All ethics consultations and the rationale for the final decision must be meticulously documented in the patient’s clinical record to meet legal and professional standards.</w:t>
      </w:r>
    </w:p>
    <w:p>
      <w:pPr>
        <w:pStyle w:val="Heading1"/>
      </w:pPr>
      <w:r>
        <w:t>Gastroenterology</w:t>
      </w:r>
    </w:p>
    <w:p>
      <w:pPr>
        <w:pStyle w:val="Heading1"/>
      </w:pPr>
      <w:r>
        <w:t>Clinical Summary: Gastroenterology &amp; Hepatology Guidelines (AMC High-Yield)</w:t>
      </w:r>
    </w:p>
    <w:p>
      <w:r>
        <w:t>This document synthesises clinical guidelines and high-yield pearls for the management of common gastroenterological conditions, formatted for clinical practice and Australian Medical Council (AMC) examination preparation.</w:t>
      </w:r>
    </w:p>
    <w:p>
      <w:r>
        <w:t>---</w:t>
      </w:r>
    </w:p>
    <w:p>
      <w:pPr>
        <w:pStyle w:val="Heading2"/>
      </w:pPr>
      <w:r>
        <w:t>1. Portal Hypertension &amp; Variceal Bleeding</w:t>
      </w:r>
    </w:p>
    <w:p>
      <w:r>
        <w:t xml:space="preserve">Management is stratified by the </w:t>
      </w:r>
      <w:r>
        <w:rPr>
          <w:b/>
        </w:rPr>
        <w:t>Child-Pugh Score</w:t>
      </w:r>
      <w:r>
        <w:t xml:space="preserve"> (A, B, or C), which predicts cirrhosis severity and mortality.</w:t>
      </w:r>
    </w:p>
    <w:p>
      <w:pPr>
        <w:pStyle w:val="Heading3"/>
      </w:pPr>
      <w:r>
        <w:t>Primary Prophylaxis (Preventing the First Bleed)</w:t>
      </w:r>
    </w:p>
    <w:p>
      <w:r>
        <w:t xml:space="preserve">*   </w:t>
      </w:r>
      <w:r>
        <w:rPr>
          <w:b/>
        </w:rPr>
        <w:t>Indications:</w:t>
      </w:r>
      <w:r>
        <w:t xml:space="preserve"> Medium/large varices, small varices with "red signs," or Child-Pugh C cirrhosis.</w:t>
      </w:r>
    </w:p>
    <w:p>
      <w:r>
        <w:t xml:space="preserve">*   </w:t>
      </w:r>
      <w:r>
        <w:rPr>
          <w:b/>
        </w:rPr>
        <w:t>First-line:</w:t>
      </w:r>
      <w:r>
        <w:t xml:space="preserve"> Non-selective beta-blockers (NSBBs) such as </w:t>
      </w:r>
      <w:r>
        <w:rPr>
          <w:b/>
        </w:rPr>
        <w:t>propranolol</w:t>
      </w:r>
      <w:r>
        <w:t xml:space="preserve"> or </w:t>
      </w:r>
      <w:r>
        <w:rPr>
          <w:b/>
        </w:rPr>
        <w:t>carvedilol</w:t>
      </w:r>
      <w:r>
        <w:t>.</w:t>
      </w:r>
    </w:p>
    <w:p>
      <w:r>
        <w:t xml:space="preserve">*   </w:t>
      </w:r>
      <w:r>
        <w:rPr>
          <w:b/>
        </w:rPr>
        <w:t>Alternative:</w:t>
      </w:r>
      <w:r>
        <w:t xml:space="preserve"> Endoscopic Variceal Ligation (EVL) if NSBBs are contraindicated or poorly tolerated.</w:t>
      </w:r>
    </w:p>
    <w:p>
      <w:pPr>
        <w:pStyle w:val="Heading3"/>
      </w:pPr>
      <w:r>
        <w:t>Acute Variceal Bleeding Management</w:t>
      </w:r>
    </w:p>
    <w:p>
      <w:r>
        <w:t xml:space="preserve">1.  </w:t>
      </w:r>
      <w:r>
        <w:rPr>
          <w:b/>
        </w:rPr>
        <w:t>Resuscitation &amp; Pharmacotherapy:</w:t>
      </w:r>
      <w:r>
        <w:t xml:space="preserve"> Immediate IV fluids/blood products. Administer </w:t>
      </w:r>
      <w:r>
        <w:rPr>
          <w:b/>
        </w:rPr>
        <w:t>vasoactive drugs</w:t>
      </w:r>
      <w:r>
        <w:t xml:space="preserve"> (terlipressin is preferred; octreotide/somatostatin are alternatives) and </w:t>
      </w:r>
      <w:r>
        <w:rPr>
          <w:b/>
        </w:rPr>
        <w:t>prophylactic antibiotics</w:t>
      </w:r>
      <w:r>
        <w:t xml:space="preserve"> (e.g., IV ceftriaxone) to prevent bacterial translocation.</w:t>
      </w:r>
    </w:p>
    <w:p>
      <w:r>
        <w:t xml:space="preserve">2.  </w:t>
      </w:r>
      <w:r>
        <w:rPr>
          <w:b/>
        </w:rPr>
        <w:t>Endoscopic Therapy:</w:t>
      </w:r>
      <w:r>
        <w:t xml:space="preserve"> EVL is the gold standard and should be performed within 12 hours.</w:t>
      </w:r>
    </w:p>
    <w:p>
      <w:r>
        <w:t xml:space="preserve">3.  </w:t>
      </w:r>
      <w:r>
        <w:rPr>
          <w:b/>
        </w:rPr>
        <w:t>Rescue Therapy:</w:t>
      </w:r>
      <w:r/>
    </w:p>
    <w:p>
      <w:r>
        <w:t xml:space="preserve">*   </w:t>
      </w:r>
      <w:r>
        <w:rPr>
          <w:b/>
        </w:rPr>
        <w:t>Balloon Tamponade:</w:t>
      </w:r>
      <w:r>
        <w:t xml:space="preserve"> (e.g., Sengstaken-Blakemore tube) as a temporary bridge for uncontrolled bleeding.</w:t>
      </w:r>
    </w:p>
    <w:p>
      <w:r>
        <w:t xml:space="preserve">*   </w:t>
      </w:r>
      <w:r>
        <w:rPr>
          <w:b/>
        </w:rPr>
        <w:t>TIPS (Transjugular Intrahepatic Portosystemic Shunt):</w:t>
      </w:r>
      <w:r>
        <w:t xml:space="preserve"> Indicated for refractory bleeding. Child-Pugh A/B patients are generally better candidates than Child-Pugh C.</w:t>
      </w:r>
    </w:p>
    <w:p>
      <w:pPr>
        <w:pStyle w:val="Heading3"/>
      </w:pPr>
      <w:r>
        <w:t>Secondary Prophylaxis (Preventing Re-bleeding)</w:t>
      </w:r>
    </w:p>
    <w:p>
      <w:r>
        <w:t xml:space="preserve">*   </w:t>
      </w:r>
      <w:r>
        <w:rPr>
          <w:b/>
        </w:rPr>
        <w:t>Standard Care:</w:t>
      </w:r>
      <w:r>
        <w:t xml:space="preserve"> Combination therapy with </w:t>
      </w:r>
      <w:r>
        <w:rPr>
          <w:b/>
        </w:rPr>
        <w:t>NSBBs + repeated EVL sessions</w:t>
      </w:r>
      <w:r>
        <w:t>.</w:t>
      </w:r>
    </w:p>
    <w:p>
      <w:r>
        <w:t xml:space="preserve">*   </w:t>
      </w:r>
      <w:r>
        <w:rPr>
          <w:b/>
        </w:rPr>
        <w:t>Refractory Cases:</w:t>
      </w:r>
      <w:r>
        <w:t xml:space="preserve"> Consider TIPS if bleeding recurs despite combination therapy.</w:t>
      </w:r>
    </w:p>
    <w:p>
      <w:r>
        <w:t>---</w:t>
      </w:r>
    </w:p>
    <w:p>
      <w:pPr>
        <w:pStyle w:val="Heading2"/>
      </w:pPr>
      <w:r>
        <w:t>2. Eosinophilic Oesophagitis (EoE)</w:t>
      </w:r>
    </w:p>
    <w:p>
      <w:r>
        <w:t>EoE typically presents in young to middle-aged males with dysphagia or refractory "GERD-like" symptoms.</w:t>
      </w:r>
    </w:p>
    <w:p>
      <w:pPr>
        <w:pStyle w:val="Heading3"/>
      </w:pPr>
      <w:r>
        <w:t>Stepwise Management Algorithm</w:t>
      </w:r>
    </w:p>
    <w:p>
      <w:r>
        <w:t xml:space="preserve">1.  </w:t>
      </w:r>
      <w:r>
        <w:rPr>
          <w:b/>
        </w:rPr>
        <w:t>Initial Trial (Diagnostic &amp; Therapeutic):</w:t>
      </w:r>
      <w:r>
        <w:t xml:space="preserve"> High-dose </w:t>
      </w:r>
      <w:r>
        <w:rPr>
          <w:b/>
        </w:rPr>
        <w:t>Proton Pump Inhibitors (PPI)</w:t>
      </w:r>
      <w:r>
        <w:t xml:space="preserve"> (e.g., Omeprazole 40mg daily) for 8 weeks.</w:t>
      </w:r>
    </w:p>
    <w:p>
      <w:r>
        <w:t>*   *Note:* This manages PPI-Responsive Esophageal Eosinophilia (PPI-REE).</w:t>
      </w:r>
    </w:p>
    <w:p>
      <w:r>
        <w:t xml:space="preserve">2.  </w:t>
      </w:r>
      <w:r>
        <w:rPr>
          <w:b/>
        </w:rPr>
        <w:t>Investigation:</w:t>
      </w:r>
      <w:r>
        <w:t xml:space="preserve"> Upper endoscopy with multiple proximal and distal biopsies.</w:t>
      </w:r>
    </w:p>
    <w:p>
      <w:r>
        <w:t xml:space="preserve">*   </w:t>
      </w:r>
      <w:r>
        <w:rPr>
          <w:b/>
        </w:rPr>
        <w:t>Diagnostic Criteria:</w:t>
      </w:r>
      <w:r>
        <w:t xml:space="preserve"> $\ge$15 eosinophils per high-power field (hpf).</w:t>
      </w:r>
    </w:p>
    <w:p>
      <w:r>
        <w:t xml:space="preserve">3.  </w:t>
      </w:r>
      <w:r>
        <w:rPr>
          <w:b/>
        </w:rPr>
        <w:t>First-line Specific Therapy:</w:t>
      </w:r>
      <w:r>
        <w:t xml:space="preserve"> If eosinophilia persists after the PPI trial, initiate </w:t>
      </w:r>
      <w:r>
        <w:rPr>
          <w:b/>
        </w:rPr>
        <w:t>topical (swallowed) corticosteroids</w:t>
      </w:r>
      <w:r>
        <w:t>.</w:t>
      </w:r>
    </w:p>
    <w:p>
      <w:r>
        <w:t xml:space="preserve">*   </w:t>
      </w:r>
      <w:r>
        <w:rPr>
          <w:b/>
        </w:rPr>
        <w:t>Delivery:</w:t>
      </w:r>
      <w:r>
        <w:t xml:space="preserve"> Fluticasone (sprayed into mouth and swallowed) or Budesonide oral slurry.</w:t>
      </w:r>
    </w:p>
    <w:p>
      <w:r>
        <w:t xml:space="preserve">*   </w:t>
      </w:r>
      <w:r>
        <w:rPr>
          <w:b/>
        </w:rPr>
        <w:t>Patient Education:</w:t>
      </w:r>
      <w:r>
        <w:t xml:space="preserve"> No food or drink for 30 minutes post-dose.</w:t>
      </w:r>
    </w:p>
    <w:p>
      <w:r>
        <w:t xml:space="preserve">4.  </w:t>
      </w:r>
      <w:r>
        <w:rPr>
          <w:b/>
        </w:rPr>
        <w:t>Refractory Management:</w:t>
      </w:r>
      <w:r>
        <w:t xml:space="preserve"> Six-food elimination diet, systemic steroids, or biologics (dupilumab).</w:t>
      </w:r>
    </w:p>
    <w:p>
      <w:r>
        <w:t>---</w:t>
      </w:r>
    </w:p>
    <w:p>
      <w:pPr>
        <w:pStyle w:val="Heading2"/>
      </w:pPr>
      <w:r>
        <w:t>3. Hepatobiliary Disorders</w:t>
      </w:r>
    </w:p>
    <w:p>
      <w:pPr>
        <w:pStyle w:val="Heading3"/>
      </w:pPr>
      <w:r>
        <w:t>Non-Alcoholic Fatty Liver Disease (NAFLD)</w:t>
      </w:r>
    </w:p>
    <w:p>
      <w:r>
        <w:t xml:space="preserve">*   </w:t>
      </w:r>
      <w:r>
        <w:rPr>
          <w:b/>
        </w:rPr>
        <w:t>Diagnosis:</w:t>
      </w:r>
      <w:r>
        <w:t xml:space="preserve"> Requires exclusion of significant alcohol intake and secondary causes. Often an incidental finding of steatosis on imaging or elevated transaminases.</w:t>
      </w:r>
    </w:p>
    <w:p>
      <w:r>
        <w:t xml:space="preserve">*   </w:t>
      </w:r>
      <w:r>
        <w:rPr>
          <w:b/>
        </w:rPr>
        <w:t>Risk Factors:</w:t>
      </w:r>
      <w:r>
        <w:t xml:space="preserve"> Metabolic syndrome (DM2, obesity, dyslipidaemia).</w:t>
      </w:r>
    </w:p>
    <w:p>
      <w:r>
        <w:t xml:space="preserve">*   </w:t>
      </w:r>
      <w:r>
        <w:rPr>
          <w:b/>
        </w:rPr>
        <w:t>Management:</w:t>
      </w:r>
      <w:r>
        <w:t xml:space="preserve"> </w:t>
      </w:r>
      <w:r>
        <w:rPr>
          <w:b/>
        </w:rPr>
        <w:t>Lifestyle modification</w:t>
      </w:r>
      <w:r>
        <w:t xml:space="preserve"> is the cornerstone (7–10% weight loss). Manage cardiovascular risk factors aggressively.</w:t>
      </w:r>
    </w:p>
    <w:p>
      <w:r>
        <w:t xml:space="preserve">*   </w:t>
      </w:r>
      <w:r>
        <w:rPr>
          <w:b/>
        </w:rPr>
        <w:t>Staging:</w:t>
      </w:r>
      <w:r>
        <w:t xml:space="preserve"> Use non-invasive markers (FIB-4, transient elastography/FibroScan) or liver biopsy (gold standard for NASH).</w:t>
      </w:r>
    </w:p>
    <w:p>
      <w:pPr>
        <w:pStyle w:val="Heading3"/>
      </w:pPr>
      <w:r>
        <w:t>Acute Hepatitis B (HBV)</w:t>
      </w:r>
    </w:p>
    <w:p>
      <w:r>
        <w:t xml:space="preserve">*   </w:t>
      </w:r>
      <w:r>
        <w:rPr>
          <w:b/>
        </w:rPr>
        <w:t>Management:</w:t>
      </w:r>
      <w:r>
        <w:t xml:space="preserve"> Mostly supportive in immunocompetent adults (spontaneous recovery is common).</w:t>
      </w:r>
    </w:p>
    <w:p>
      <w:r>
        <w:t xml:space="preserve">*   </w:t>
      </w:r>
      <w:r>
        <w:rPr>
          <w:b/>
        </w:rPr>
        <w:t>Antivirals (Tenofovir/Entecavir):</w:t>
      </w:r>
      <w:r>
        <w:t xml:space="preserve"> Reserved for severe acute hepatitis (elevated INR, jaundice, liver failure) or chronic HBV with high viral load/liver damage.</w:t>
      </w:r>
    </w:p>
    <w:p>
      <w:pPr>
        <w:pStyle w:val="Heading3"/>
      </w:pPr>
      <w:r>
        <w:t>Dubin-Johnson Syndrome</w:t>
      </w:r>
    </w:p>
    <w:p>
      <w:r>
        <w:t xml:space="preserve">*   </w:t>
      </w:r>
      <w:r>
        <w:rPr>
          <w:b/>
        </w:rPr>
        <w:t>Pathophysiology:</w:t>
      </w:r>
      <w:r>
        <w:t xml:space="preserve"> Autosomal recessive mutation in *ABCC2/MRP2* gene; defective excretion of conjugated bilirubin.</w:t>
      </w:r>
    </w:p>
    <w:p>
      <w:r>
        <w:t xml:space="preserve">*   </w:t>
      </w:r>
      <w:r>
        <w:rPr>
          <w:b/>
        </w:rPr>
        <w:t>Clinical Hallmark:</w:t>
      </w:r>
      <w:r>
        <w:t xml:space="preserve"> Asymptomatic conjugated hyperbilirubinaemia; </w:t>
      </w:r>
      <w:r>
        <w:rPr>
          <w:b/>
        </w:rPr>
        <w:t>dark/black liver</w:t>
      </w:r>
      <w:r>
        <w:t xml:space="preserve"> on biopsy. Normal liver enzymes.</w:t>
      </w:r>
    </w:p>
    <w:p>
      <w:r>
        <w:t xml:space="preserve">*   </w:t>
      </w:r>
      <w:r>
        <w:rPr>
          <w:b/>
        </w:rPr>
        <w:t>Management:</w:t>
      </w:r>
      <w:r>
        <w:t xml:space="preserve"> Reassurance; the condition is benign.</w:t>
      </w:r>
    </w:p>
    <w:p>
      <w:r>
        <w:t>---</w:t>
      </w:r>
    </w:p>
    <w:p>
      <w:pPr>
        <w:pStyle w:val="Heading2"/>
      </w:pPr>
      <w:r>
        <w:t>4. Pancreatitis &amp; Ascites</w:t>
      </w:r>
    </w:p>
    <w:p>
      <w:pPr>
        <w:pStyle w:val="Heading3"/>
      </w:pPr>
      <w:r>
        <w:t>Acute Pancreatitis</w:t>
      </w:r>
    </w:p>
    <w:p>
      <w:r/>
      <w:r>
        <w:rPr>
          <w:b/>
        </w:rPr>
        <w:t>Diagnosis</w:t>
      </w:r>
      <w:r>
        <w:t xml:space="preserve"> requires $\ge$2 of the following 3:</w:t>
      </w:r>
    </w:p>
    <w:p>
      <w:r>
        <w:t>1.  Characteristic epigastric pain radiating to the back.</w:t>
      </w:r>
    </w:p>
    <w:p>
      <w:r>
        <w:t xml:space="preserve">2.  </w:t>
      </w:r>
      <w:r>
        <w:rPr>
          <w:b/>
        </w:rPr>
        <w:t>Serum Lipase</w:t>
      </w:r>
      <w:r>
        <w:t xml:space="preserve"> (preferred over amylase) &gt;3x upper limit of normal.</w:t>
      </w:r>
    </w:p>
    <w:p>
      <w:r>
        <w:t>3.  Characteristic imaging findings (CT/MRI/US).</w:t>
      </w:r>
    </w:p>
    <w:p>
      <w:r>
        <w:t>*   *Clinical Tip:* CT is not required for initial diagnosis but is used 48–72 hours later if the patient fails to improve, to assess for necrosis or pseudocysts.</w:t>
      </w:r>
    </w:p>
    <w:p>
      <w:pPr>
        <w:pStyle w:val="Heading3"/>
      </w:pPr>
      <w:r>
        <w:t>Ascites Etiology ($C_2H_4$ Mnemonic)</w:t>
      </w:r>
    </w:p>
    <w:p>
      <w:r>
        <w:t xml:space="preserve">Use the </w:t>
      </w:r>
      <w:r>
        <w:rPr>
          <w:b/>
        </w:rPr>
        <w:t>Serum-Ascites Albumin Gradient (SAAG)</w:t>
      </w:r>
      <w:r>
        <w:t xml:space="preserve"> to differentiate:</w:t>
      </w:r>
    </w:p>
    <w:p>
      <w:r>
        <w:t xml:space="preserve">*   </w:t>
      </w:r>
      <w:r>
        <w:rPr>
          <w:b/>
        </w:rPr>
        <w:t>SAAG &gt;1.1 g/dL:</w:t>
      </w:r>
      <w:r>
        <w:t xml:space="preserve"> Portal Hypertension (Cirrhosis, Cardiac failure, Budd-Chiari).</w:t>
      </w:r>
    </w:p>
    <w:p>
      <w:r>
        <w:t xml:space="preserve">*   </w:t>
      </w:r>
      <w:r>
        <w:rPr>
          <w:b/>
        </w:rPr>
        <w:t>SAAG &lt;1.1 g/dL:</w:t>
      </w:r>
      <w:r>
        <w:t xml:space="preserve"> Non-portal hypertensive (Cancer, TB, Nephrotic syndrome).</w:t>
      </w:r>
    </w:p>
    <w:p>
      <w:r/>
      <w:r>
        <w:rPr>
          <w:b/>
        </w:rPr>
        <w:t>Causes (Mnemonic $C_2H_4$):</w:t>
      </w:r>
      <w:r/>
    </w:p>
    <w:p>
      <w:r>
        <w:t xml:space="preserve">*   </w:t>
      </w:r>
      <w:r>
        <w:rPr>
          <w:b/>
        </w:rPr>
        <w:t>C:</w:t>
      </w:r>
      <w:r>
        <w:t xml:space="preserve"> </w:t>
      </w:r>
      <w:r>
        <w:rPr>
          <w:b/>
        </w:rPr>
        <w:t>C</w:t>
      </w:r>
      <w:r>
        <w:t>ancer (Peritoneal carcinomatosis).</w:t>
      </w:r>
    </w:p>
    <w:p>
      <w:r>
        <w:t xml:space="preserve">*   </w:t>
      </w:r>
      <w:r>
        <w:rPr>
          <w:b/>
        </w:rPr>
        <w:t>C:</w:t>
      </w:r>
      <w:r>
        <w:t xml:space="preserve"> </w:t>
      </w:r>
      <w:r>
        <w:rPr>
          <w:b/>
        </w:rPr>
        <w:t>C</w:t>
      </w:r>
      <w:r>
        <w:t>hronic Inflammation (TB, Pancreatitis).</w:t>
      </w:r>
    </w:p>
    <w:p>
      <w:r>
        <w:t xml:space="preserve">*   </w:t>
      </w:r>
      <w:r>
        <w:rPr>
          <w:b/>
        </w:rPr>
        <w:t>H:</w:t>
      </w:r>
      <w:r>
        <w:t xml:space="preserve"> </w:t>
      </w:r>
      <w:r>
        <w:rPr>
          <w:b/>
        </w:rPr>
        <w:t>H</w:t>
      </w:r>
      <w:r>
        <w:t>epatic disease (Cirrhosis - 81% of cases).</w:t>
      </w:r>
    </w:p>
    <w:p>
      <w:r>
        <w:t xml:space="preserve">*   </w:t>
      </w:r>
      <w:r>
        <w:rPr>
          <w:b/>
        </w:rPr>
        <w:t>H:</w:t>
      </w:r>
      <w:r>
        <w:t xml:space="preserve"> </w:t>
      </w:r>
      <w:r>
        <w:rPr>
          <w:b/>
        </w:rPr>
        <w:t>H</w:t>
      </w:r>
      <w:r>
        <w:t>epatic vein obstruction (Budd-Chiari).</w:t>
      </w:r>
    </w:p>
    <w:p>
      <w:r>
        <w:t xml:space="preserve">*   </w:t>
      </w:r>
      <w:r>
        <w:rPr>
          <w:b/>
        </w:rPr>
        <w:t>H:</w:t>
      </w:r>
      <w:r>
        <w:t xml:space="preserve"> </w:t>
      </w:r>
      <w:r>
        <w:rPr>
          <w:b/>
        </w:rPr>
        <w:t>H</w:t>
      </w:r>
      <w:r>
        <w:t>eart failure (Right-sided).</w:t>
      </w:r>
    </w:p>
    <w:p>
      <w:r>
        <w:t xml:space="preserve">*   </w:t>
      </w:r>
      <w:r>
        <w:rPr>
          <w:b/>
        </w:rPr>
        <w:t>H:</w:t>
      </w:r>
      <w:r>
        <w:t xml:space="preserve"> </w:t>
      </w:r>
      <w:r>
        <w:rPr>
          <w:b/>
        </w:rPr>
        <w:t>H</w:t>
      </w:r>
      <w:r>
        <w:t>ypoalbuminaemia (Nephrotic syndrome, malnutrition).</w:t>
      </w:r>
    </w:p>
    <w:p>
      <w:r>
        <w:t>---</w:t>
      </w:r>
    </w:p>
    <w:p>
      <w:pPr>
        <w:pStyle w:val="Heading2"/>
      </w:pPr>
      <w:r>
        <w:t>5. Colorectal Cancer (CRC) Screening &amp; Red Flags</w:t>
      </w:r>
    </w:p>
    <w:p>
      <w:pPr>
        <w:pStyle w:val="Heading3"/>
      </w:pPr>
      <w:r>
        <w:t>Screening vs. Surveillance</w:t>
      </w:r>
    </w:p>
    <w:p>
      <w:r>
        <w:t xml:space="preserve">*   </w:t>
      </w:r>
      <w:r>
        <w:rPr>
          <w:b/>
        </w:rPr>
        <w:t>Average Risk (Aged 50–74):</w:t>
      </w:r>
      <w:r>
        <w:t xml:space="preserve"> </w:t>
      </w:r>
      <w:r>
        <w:rPr>
          <w:b/>
        </w:rPr>
        <w:t>iFOBT</w:t>
      </w:r>
      <w:r>
        <w:t xml:space="preserve"> every 2 years.</w:t>
      </w:r>
    </w:p>
    <w:p>
      <w:r>
        <w:t xml:space="preserve">*   </w:t>
      </w:r>
      <w:r>
        <w:rPr>
          <w:b/>
        </w:rPr>
        <w:t>Moderate Risk (1 FDR diagnosed $\ge$55):</w:t>
      </w:r>
      <w:r>
        <w:t xml:space="preserve"> </w:t>
      </w:r>
      <w:r>
        <w:rPr>
          <w:b/>
        </w:rPr>
        <w:t>Colonoscopy</w:t>
      </w:r>
      <w:r>
        <w:t xml:space="preserve"> every 5 years starting at age 50 (or 10 years earlier than relative's diagnosis).</w:t>
      </w:r>
    </w:p>
    <w:p>
      <w:r>
        <w:t xml:space="preserve">*   </w:t>
      </w:r>
      <w:r>
        <w:rPr>
          <w:b/>
        </w:rPr>
        <w:t>High Risk (Strong family history, Lynch, FAP, IBD):</w:t>
      </w:r>
      <w:r>
        <w:t xml:space="preserve"> Annual or biennial colonoscopy; iFOBT is </w:t>
      </w:r>
      <w:r>
        <w:rPr>
          <w:b/>
        </w:rPr>
        <w:t>not</w:t>
      </w:r>
      <w:r>
        <w:t xml:space="preserve"> appropriate.</w:t>
      </w:r>
    </w:p>
    <w:p>
      <w:pPr>
        <w:pStyle w:val="Heading3"/>
      </w:pPr>
      <w:r>
        <w:t>Clinical Red Flags</w:t>
      </w:r>
    </w:p>
    <w:p>
      <w:r>
        <w:t xml:space="preserve">*   </w:t>
      </w:r>
      <w:r>
        <w:rPr>
          <w:b/>
        </w:rPr>
        <w:t>Change in Bowel Habit:</w:t>
      </w:r>
      <w:r>
        <w:t xml:space="preserve"> Most specific indicator (e.g., persistent constipation/diarrhoea &gt;6 weeks, pencil-thin stools).</w:t>
      </w:r>
    </w:p>
    <w:p>
      <w:r>
        <w:t xml:space="preserve">*   </w:t>
      </w:r>
      <w:r>
        <w:rPr>
          <w:b/>
        </w:rPr>
        <w:t>Rectal Bleeding:</w:t>
      </w:r>
      <w:r>
        <w:t xml:space="preserve"> High predictive value when combined with bowel habit changes or occurring in patients &gt;50.</w:t>
      </w:r>
    </w:p>
    <w:p>
      <w:r>
        <w:t>---</w:t>
      </w:r>
    </w:p>
    <w:p>
      <w:pPr>
        <w:pStyle w:val="Heading2"/>
      </w:pPr>
      <w:r>
        <w:t>6. Clinical Assessment &amp; Imaging Strategies</w:t>
      </w:r>
    </w:p>
    <w:p>
      <w:pPr>
        <w:pStyle w:val="Heading3"/>
      </w:pPr>
      <w:r>
        <w:t>Abdominal Pain and Food</w:t>
      </w:r>
    </w:p>
    <w:p>
      <w:r>
        <w:t xml:space="preserve">*   </w:t>
      </w:r>
      <w:r>
        <w:rPr>
          <w:b/>
        </w:rPr>
        <w:t>Relieved by food:</w:t>
      </w:r>
      <w:r>
        <w:t xml:space="preserve"> Duodenal ulcer.</w:t>
      </w:r>
    </w:p>
    <w:p>
      <w:r>
        <w:t xml:space="preserve">*   </w:t>
      </w:r>
      <w:r>
        <w:rPr>
          <w:b/>
        </w:rPr>
        <w:t>Worsened by food:</w:t>
      </w:r>
      <w:r>
        <w:t xml:space="preserve"> Gastric ulcer, Biliary colic, Chronic mesenteric ischaemia, Pancreatitis.</w:t>
      </w:r>
    </w:p>
    <w:p>
      <w:r>
        <w:t xml:space="preserve">*   </w:t>
      </w:r>
      <w:r>
        <w:rPr>
          <w:b/>
        </w:rPr>
        <w:t>Unrelated to food:</w:t>
      </w:r>
      <w:r>
        <w:t xml:space="preserve"> Functional dyspepsia, IBS, Pancreatic cancer, AAA, Renal colic.</w:t>
      </w:r>
    </w:p>
    <w:p>
      <w:pPr>
        <w:pStyle w:val="Heading3"/>
      </w:pPr>
      <w:r>
        <w:t>Radiology Choice (AMC High-Yield)</w:t>
      </w:r>
    </w:p>
    <w:p>
      <w:r>
        <w:t>| Clinical Suspicion | First-Line / Best Test |</w:t>
      </w:r>
    </w:p>
    <w:p>
      <w:r>
        <w:t>| :--- | :--- |</w:t>
      </w:r>
    </w:p>
    <w:p>
      <w:r>
        <w:t xml:space="preserve">| </w:t>
      </w:r>
      <w:r>
        <w:rPr>
          <w:b/>
        </w:rPr>
        <w:t>Acute Surgical Abdomen</w:t>
      </w:r>
      <w:r>
        <w:t xml:space="preserve"> | CT Abdomen/Pelvis with IV contrast |</w:t>
      </w:r>
    </w:p>
    <w:p>
      <w:r>
        <w:t xml:space="preserve">| </w:t>
      </w:r>
      <w:r>
        <w:rPr>
          <w:b/>
        </w:rPr>
        <w:t>Biliary Disease (Cholecystitis)</w:t>
      </w:r>
      <w:r>
        <w:t xml:space="preserve"> | RUQ Ultrasound |</w:t>
      </w:r>
    </w:p>
    <w:p>
      <w:r>
        <w:t xml:space="preserve">| </w:t>
      </w:r>
      <w:r>
        <w:rPr>
          <w:b/>
        </w:rPr>
        <w:t>Small Bowel Obstruction</w:t>
      </w:r>
      <w:r>
        <w:t xml:space="preserve"> | CT Abdomen/Pelvis (Oral + IV contrast) |</w:t>
      </w:r>
    </w:p>
    <w:p>
      <w:r>
        <w:t xml:space="preserve">| </w:t>
      </w:r>
      <w:r>
        <w:rPr>
          <w:b/>
        </w:rPr>
        <w:t>Appendicitis</w:t>
      </w:r>
      <w:r>
        <w:t xml:space="preserve"> | Ultrasound (Children/Pregnancy) / CT (Other adults) |</w:t>
      </w:r>
    </w:p>
    <w:p>
      <w:r>
        <w:t xml:space="preserve">| </w:t>
      </w:r>
      <w:r>
        <w:rPr>
          <w:b/>
        </w:rPr>
        <w:t>Nephrolithiasis</w:t>
      </w:r>
      <w:r>
        <w:t xml:space="preserve"> | Non-contrast CT KUB ("Stone Protocol") |</w:t>
      </w:r>
    </w:p>
    <w:p>
      <w:r>
        <w:t xml:space="preserve">| </w:t>
      </w:r>
      <w:r>
        <w:rPr>
          <w:b/>
        </w:rPr>
        <w:t>Macroscopic Haematuria</w:t>
      </w:r>
      <w:r>
        <w:t xml:space="preserve"> | CT Urogram (CT IVP) |</w:t>
      </w:r>
    </w:p>
    <w:p>
      <w:r>
        <w:t xml:space="preserve">| </w:t>
      </w:r>
      <w:r>
        <w:rPr>
          <w:b/>
        </w:rPr>
        <w:t>Testicular Torsion</w:t>
      </w:r>
      <w:r>
        <w:t xml:space="preserve"> | Colour Doppler Ultrasound (Urgent) |</w:t>
      </w:r>
    </w:p>
    <w:p>
      <w:r>
        <w:t xml:space="preserve">| </w:t>
      </w:r>
      <w:r>
        <w:rPr>
          <w:b/>
        </w:rPr>
        <w:t>Lower GI Bleeding</w:t>
      </w:r>
      <w:r>
        <w:t xml:space="preserve"> | Colonoscopy (if stable); CT Angiography (if unstable) |</w:t>
      </w:r>
    </w:p>
    <w:p>
      <w:pPr>
        <w:pStyle w:val="Heading1"/>
      </w:pPr>
      <w:r>
        <w:t>Gynaecology</w:t>
      </w:r>
    </w:p>
    <w:p>
      <w:pPr>
        <w:pStyle w:val="Heading1"/>
      </w:pPr>
      <w:r>
        <w:t>Gynaecology: High-Yield Clinical Review</w:t>
      </w:r>
    </w:p>
    <w:p>
      <w:r>
        <w:t>This summary consolidates the latest clinical guidelines and management pathways essential for the AMC examination, focusing on cervical screening, hormonal contraception, and premenstrual health.</w:t>
      </w:r>
    </w:p>
    <w:p>
      <w:r>
        <w:t>---</w:t>
      </w:r>
    </w:p>
    <w:p>
      <w:pPr>
        <w:pStyle w:val="Heading2"/>
      </w:pPr>
      <w:r>
        <w:t>1. Cervical Screening and Pathology</w:t>
      </w:r>
    </w:p>
    <w:p>
      <w:r>
        <w:t xml:space="preserve">The Australian National Cervical Screening Program (NCSP) utilizes primary Human Papillomavirus (HPV) testing. Screening is performed every </w:t>
      </w:r>
      <w:r>
        <w:rPr>
          <w:b/>
        </w:rPr>
        <w:t>5 years</w:t>
      </w:r>
      <w:r>
        <w:t xml:space="preserve"> for asymptomatic women aged </w:t>
      </w:r>
      <w:r>
        <w:rPr>
          <w:b/>
        </w:rPr>
        <w:t>25 to 74</w:t>
      </w:r>
      <w:r>
        <w:t>.</w:t>
      </w:r>
    </w:p>
    <w:p>
      <w:pPr>
        <w:pStyle w:val="Heading3"/>
      </w:pPr>
      <w:r>
        <w:t>A. Management Pathway for HPV Results</w:t>
      </w:r>
    </w:p>
    <w:p>
      <w:r>
        <w:t>Management is dictated by the HPV genotype and the presence of cytological abnormalities:</w:t>
      </w:r>
    </w:p>
    <w:p>
      <w:r>
        <w:t xml:space="preserve">*   </w:t>
      </w:r>
      <w:r>
        <w:rPr>
          <w:b/>
        </w:rPr>
        <w:t>Category 1: Immediate Colposcopy (High Risk)</w:t>
      </w:r>
      <w:r/>
    </w:p>
    <w:p>
      <w:r>
        <w:t xml:space="preserve">*   </w:t>
      </w:r>
      <w:r>
        <w:rPr>
          <w:b/>
        </w:rPr>
        <w:t>HPV 16 or 18 Detected:</w:t>
      </w:r>
      <w:r>
        <w:t xml:space="preserve"> Refer for colposcopy regardless of the liquid-based cytology (LBC) result.</w:t>
      </w:r>
    </w:p>
    <w:p>
      <w:r>
        <w:t xml:space="preserve">*   </w:t>
      </w:r>
      <w:r>
        <w:rPr>
          <w:b/>
        </w:rPr>
        <w:t>Non-16/18 HPV + Any Cytological Abnormality:</w:t>
      </w:r>
      <w:r>
        <w:t xml:space="preserve"> Refer for colposcopy if any squamous abnormality (e.g., LSIL, HSIL) or glandular abnormality is present.</w:t>
      </w:r>
    </w:p>
    <w:p>
      <w:r>
        <w:t xml:space="preserve">*   </w:t>
      </w:r>
      <w:r>
        <w:rPr>
          <w:b/>
        </w:rPr>
        <w:t>Cytological HSIL:</w:t>
      </w:r>
      <w:r>
        <w:t xml:space="preserve"> High-grade lesions on cytology warrant immediate colposcopy, even if HPV is not detected.</w:t>
      </w:r>
    </w:p>
    <w:p>
      <w:r>
        <w:t xml:space="preserve">*   </w:t>
      </w:r>
      <w:r>
        <w:rPr>
          <w:b/>
        </w:rPr>
        <w:t>Category 2: 12-Month Follow-Up (Intermediate Risk)</w:t>
      </w:r>
      <w:r/>
    </w:p>
    <w:p>
      <w:r>
        <w:t xml:space="preserve">*   </w:t>
      </w:r>
      <w:r>
        <w:rPr>
          <w:b/>
        </w:rPr>
        <w:t>Non-16/18 HPV + Negative Cytology:</w:t>
      </w:r>
      <w:r>
        <w:t xml:space="preserve"> Repeat HPV test in 12 months.</w:t>
      </w:r>
    </w:p>
    <w:p>
      <w:r>
        <w:t xml:space="preserve">*   </w:t>
      </w:r>
      <w:r>
        <w:rPr>
          <w:b/>
        </w:rPr>
        <w:t>Persistent Non-16/18 HPV:</w:t>
      </w:r>
      <w:r>
        <w:t xml:space="preserve"> If HPV (any type) is still detected at the 12-month follow-up, refer for colposcopy, even if cytology remains negative.</w:t>
      </w:r>
    </w:p>
    <w:p>
      <w:r>
        <w:t xml:space="preserve">*   </w:t>
      </w:r>
      <w:r>
        <w:rPr>
          <w:b/>
        </w:rPr>
        <w:t>Category 3: Routine Screening (Low Risk)</w:t>
      </w:r>
      <w:r/>
    </w:p>
    <w:p>
      <w:r>
        <w:t xml:space="preserve">*   </w:t>
      </w:r>
      <w:r>
        <w:rPr>
          <w:b/>
        </w:rPr>
        <w:t>HPV Not Detected:</w:t>
      </w:r>
      <w:r>
        <w:t xml:space="preserve"> Return to routine 5-yearly screening.</w:t>
      </w:r>
    </w:p>
    <w:p>
      <w:r>
        <w:t xml:space="preserve">*   </w:t>
      </w:r>
      <w:r>
        <w:rPr>
          <w:b/>
        </w:rPr>
        <w:t>Cleared Infection:</w:t>
      </w:r>
      <w:r>
        <w:t xml:space="preserve"> If a previous 12-month follow-up test returns an HPV-negative result, the patient returns to 5-yearly screening.</w:t>
      </w:r>
    </w:p>
    <w:p>
      <w:pPr>
        <w:pStyle w:val="Heading3"/>
      </w:pPr>
      <w:r>
        <w:t>B. Atypical Glandular Cells (AGC/AGUS)</w:t>
      </w:r>
    </w:p>
    <w:p>
      <w:r>
        <w:t>Atypical Glandular Cells (of Undetermined Significance) is a high-yield "red flag" result. Unlike squamous atypia, AGC is frequently associated with significant underlying malignancy.</w:t>
      </w:r>
    </w:p>
    <w:p>
      <w:r>
        <w:t xml:space="preserve">*   </w:t>
      </w:r>
      <w:r>
        <w:rPr>
          <w:b/>
        </w:rPr>
        <w:t>Potential Pathologies:</w:t>
      </w:r>
      <w:r>
        <w:t xml:space="preserve"> Cervical adenocarcinoma, high-grade glandular dysplasia (AIS), or endometrial adenocarcinoma.</w:t>
      </w:r>
    </w:p>
    <w:p>
      <w:r>
        <w:t xml:space="preserve">*   </w:t>
      </w:r>
      <w:r>
        <w:rPr>
          <w:b/>
        </w:rPr>
        <w:t>Mandatory Management:</w:t>
      </w:r>
      <w:r/>
    </w:p>
    <w:p>
      <w:r>
        <w:t xml:space="preserve">*   </w:t>
      </w:r>
      <w:r>
        <w:rPr>
          <w:b/>
        </w:rPr>
        <w:t>Immediate referral</w:t>
      </w:r>
      <w:r>
        <w:t xml:space="preserve"> for colposcopy (do </w:t>
      </w:r>
      <w:r>
        <w:rPr>
          <w:b/>
        </w:rPr>
        <w:t>not</w:t>
      </w:r>
      <w:r>
        <w:t xml:space="preserve"> repeat cytology in 12 months).</w:t>
      </w:r>
    </w:p>
    <w:p>
      <w:r>
        <w:t xml:space="preserve">*   </w:t>
      </w:r>
      <w:r>
        <w:rPr>
          <w:b/>
        </w:rPr>
        <w:t>Endometrial sampling</w:t>
      </w:r>
      <w:r>
        <w:t xml:space="preserve"> is indicated for women over 35 or those with abnormal/unexplained vaginal bleeding.</w:t>
      </w:r>
    </w:p>
    <w:p>
      <w:r>
        <w:t>*   Thorough assessment of the transformation zone and endocervical canal is required.</w:t>
      </w:r>
    </w:p>
    <w:p>
      <w:r>
        <w:t>---</w:t>
      </w:r>
    </w:p>
    <w:p>
      <w:pPr>
        <w:pStyle w:val="Heading2"/>
      </w:pPr>
      <w:r>
        <w:t>2. Hormonal Contraception: DMPA and Bone Health</w:t>
      </w:r>
    </w:p>
    <w:p>
      <w:r>
        <w:t>Depot Medroxyprogesterone Acetate (DMPA) is a highly effective, long-acting reversible contraceptive (LARC). Concerns regarding Bone Mineral Density (BMD) must be balanced against contraceptive efficacy.</w:t>
      </w:r>
    </w:p>
    <w:p>
      <w:pPr>
        <w:pStyle w:val="Heading3"/>
      </w:pPr>
      <w:r>
        <w:t>Clinical Kinetics and Safety</w:t>
      </w:r>
    </w:p>
    <w:p>
      <w:r>
        <w:t xml:space="preserve">*   </w:t>
      </w:r>
      <w:r>
        <w:rPr>
          <w:b/>
        </w:rPr>
        <w:t>BMD Reduction:</w:t>
      </w:r>
      <w:r>
        <w:t xml:space="preserve"> Long-term use is associated with a reduction in BMD. This decrease is most rapid during the first 1–2 years of use before reaching a plateau.</w:t>
      </w:r>
    </w:p>
    <w:p>
      <w:r>
        <w:t xml:space="preserve">*   </w:t>
      </w:r>
      <w:r>
        <w:rPr>
          <w:b/>
        </w:rPr>
        <w:t>Reversibility:</w:t>
      </w:r>
      <w:r>
        <w:t xml:space="preserve"> The effect on bone is </w:t>
      </w:r>
      <w:r>
        <w:rPr>
          <w:b/>
        </w:rPr>
        <w:t>largely reversible</w:t>
      </w:r>
      <w:r>
        <w:t xml:space="preserve"> upon discontinuation of the injection.</w:t>
      </w:r>
    </w:p>
    <w:p>
      <w:r>
        <w:t xml:space="preserve">*   </w:t>
      </w:r>
      <w:r>
        <w:rPr>
          <w:b/>
        </w:rPr>
        <w:t>Clinical Consensus:</w:t>
      </w:r>
      <w:r>
        <w:t xml:space="preserve"> DMPA is considered safe and appropriate for long-term use in most women, including adolescents. In the Australian context, it remains a first-line option.</w:t>
      </w:r>
    </w:p>
    <w:p>
      <w:pPr>
        <w:pStyle w:val="Heading3"/>
      </w:pPr>
      <w:r>
        <w:t>Best Practice Recommendations</w:t>
      </w:r>
    </w:p>
    <w:p>
      <w:r>
        <w:t xml:space="preserve">*   </w:t>
      </w:r>
      <w:r>
        <w:rPr>
          <w:b/>
        </w:rPr>
        <w:t>Monitoring:</w:t>
      </w:r>
      <w:r>
        <w:t xml:space="preserve"> Routine BMD screening (DEXA scans) is </w:t>
      </w:r>
      <w:r>
        <w:rPr>
          <w:b/>
        </w:rPr>
        <w:t>not recommended</w:t>
      </w:r>
      <w:r>
        <w:t xml:space="preserve"> for asymptomatic women using DMPA.</w:t>
      </w:r>
    </w:p>
    <w:p>
      <w:r>
        <w:t xml:space="preserve">*   </w:t>
      </w:r>
      <w:r>
        <w:rPr>
          <w:b/>
        </w:rPr>
        <w:t>Risk Assessment:</w:t>
      </w:r>
      <w:r>
        <w:t xml:space="preserve"> While the theoretical risk of fracture is noted, clinical focus should be on modifiable osteoporosis risk factors (e.g., smoking cessation, adequate BMI, and calcium/vitamin D intake).</w:t>
      </w:r>
    </w:p>
    <w:p>
      <w:r>
        <w:t xml:space="preserve">*   </w:t>
      </w:r>
      <w:r>
        <w:rPr>
          <w:b/>
        </w:rPr>
        <w:t>Counselling:</w:t>
      </w:r>
      <w:r>
        <w:t xml:space="preserve"> Patients should be counselled that the benefits of preventing unintended pregnancy generally outweigh the theoretical risks to bone health.</w:t>
      </w:r>
    </w:p>
    <w:p>
      <w:r>
        <w:t>---</w:t>
      </w:r>
    </w:p>
    <w:p>
      <w:pPr>
        <w:pStyle w:val="Heading2"/>
      </w:pPr>
      <w:r>
        <w:t>3. Management of Premenstrual Syndrome (PMS)</w:t>
      </w:r>
    </w:p>
    <w:p>
      <w:r>
        <w:t>The management of PMS follows a tiered approach based on the severity of symptoms and the impact on the patient’s quality of life.</w:t>
      </w:r>
    </w:p>
    <w:p>
      <w:r>
        <w:t xml:space="preserve">*   </w:t>
      </w:r>
      <w:r>
        <w:rPr>
          <w:b/>
        </w:rPr>
        <w:t>First-line Management:</w:t>
      </w:r>
      <w:r>
        <w:t xml:space="preserve"> Focus on non-pharmacological interventions. This includes lifestyle modifications (exercise, stress reduction, and sleep hygiene) and cognitive-behavioral therapy (CBT).</w:t>
      </w:r>
    </w:p>
    <w:p>
      <w:r>
        <w:t xml:space="preserve">*   </w:t>
      </w:r>
      <w:r>
        <w:rPr>
          <w:b/>
        </w:rPr>
        <w:t>Pharmacological Management:</w:t>
      </w:r>
      <w:r/>
    </w:p>
    <w:p>
      <w:r>
        <w:t xml:space="preserve">*   </w:t>
      </w:r>
      <w:r>
        <w:rPr>
          <w:b/>
        </w:rPr>
        <w:t>SSRIs (Selective Serotonin Reuptake Inhibitors):</w:t>
      </w:r>
      <w:r>
        <w:t xml:space="preserve"> These are indicated for </w:t>
      </w:r>
      <w:r>
        <w:rPr>
          <w:b/>
        </w:rPr>
        <w:t>moderate to severe</w:t>
      </w:r>
      <w:r>
        <w:t xml:space="preserve"> PMS or Premenstrual Dysphoric Disorder (PMDD).</w:t>
      </w:r>
    </w:p>
    <w:p>
      <w:r>
        <w:t>*   SSRIs can be administered either continuously or limited to the luteal phase, depending on patient preference and symptom profile.</w:t>
      </w:r>
    </w:p>
    <w:p>
      <w:pPr>
        <w:pStyle w:val="Heading1"/>
      </w:pPr>
      <w:r>
        <w:t>Haematology</w:t>
      </w:r>
    </w:p>
    <w:p>
      <w:pPr>
        <w:pStyle w:val="Heading1"/>
      </w:pPr>
      <w:r>
        <w:t>Haematology: Clinical Practice and Examination Summary</w:t>
      </w:r>
    </w:p>
    <w:p>
      <w:r>
        <w:t>This summary consolidates high-yield haematological principles, diagnostic frameworks, and management strategies essential for clinical practice and the AMC examination.</w:t>
      </w:r>
    </w:p>
    <w:p>
      <w:r>
        <w:t>---</w:t>
      </w:r>
    </w:p>
    <w:p>
      <w:pPr>
        <w:pStyle w:val="Heading2"/>
      </w:pPr>
      <w:r>
        <w:t>1. Approach to Full Blood Count (FBC) Interpretation</w:t>
      </w:r>
    </w:p>
    <w:p>
      <w:r>
        <w:t>A structured interpretation of the FBC (or CBC) is the cornerstone of haematological diagnosis.</w:t>
      </w:r>
    </w:p>
    <w:p>
      <w:pPr>
        <w:pStyle w:val="Heading3"/>
      </w:pPr>
      <w:r>
        <w:t>Step-by-Step Framework</w:t>
      </w:r>
    </w:p>
    <w:p>
      <w:r>
        <w:t xml:space="preserve">1.  </w:t>
      </w:r>
      <w:r>
        <w:rPr>
          <w:b/>
        </w:rPr>
        <w:t>Haemoglobin (Hb):</w:t>
      </w:r>
      <w:r>
        <w:t xml:space="preserve"> Identify presence of anaemia (low Hb) or polycythaemia (high Hb).</w:t>
      </w:r>
    </w:p>
    <w:p>
      <w:r>
        <w:t xml:space="preserve">2.  </w:t>
      </w:r>
      <w:r>
        <w:rPr>
          <w:b/>
        </w:rPr>
        <w:t>Red Cell Indices (MCV, MCH, RDW):</w:t>
      </w:r>
      <w:r/>
    </w:p>
    <w:p>
      <w:r>
        <w:t xml:space="preserve">*   </w:t>
      </w:r>
      <w:r>
        <w:rPr>
          <w:b/>
        </w:rPr>
        <w:t>MCV (Size):</w:t>
      </w:r>
      <w:r>
        <w:t xml:space="preserve"> Microcytic (&lt;80 fL), Normocytic (80–100 fL), or Macrocytic (&gt;100 fL).</w:t>
      </w:r>
    </w:p>
    <w:p>
      <w:r>
        <w:t xml:space="preserve">*   </w:t>
      </w:r>
      <w:r>
        <w:rPr>
          <w:b/>
        </w:rPr>
        <w:t>RDW (Variation):</w:t>
      </w:r>
      <w:r>
        <w:t xml:space="preserve"> High RDW suggests anisocytosis (e.g., early iron deficiency).</w:t>
      </w:r>
    </w:p>
    <w:p>
      <w:r>
        <w:t xml:space="preserve">3.  </w:t>
      </w:r>
      <w:r>
        <w:rPr>
          <w:b/>
        </w:rPr>
        <w:t>White Blood Cell (WBC) Differential:</w:t>
      </w:r>
      <w:r/>
    </w:p>
    <w:p>
      <w:r>
        <w:t xml:space="preserve">*   </w:t>
      </w:r>
      <w:r>
        <w:rPr>
          <w:b/>
        </w:rPr>
        <w:t>Neutrophilia:</w:t>
      </w:r>
      <w:r>
        <w:t xml:space="preserve"> Bacterial infection/inflammation.</w:t>
      </w:r>
    </w:p>
    <w:p>
      <w:r>
        <w:t xml:space="preserve">*   </w:t>
      </w:r>
      <w:r>
        <w:rPr>
          <w:b/>
        </w:rPr>
        <w:t>Lymphocytosis:</w:t>
      </w:r>
      <w:r>
        <w:t xml:space="preserve"> Viral infection.</w:t>
      </w:r>
    </w:p>
    <w:p>
      <w:r>
        <w:t xml:space="preserve">*   </w:t>
      </w:r>
      <w:r>
        <w:rPr>
          <w:b/>
        </w:rPr>
        <w:t>Eosinophilia:</w:t>
      </w:r>
      <w:r>
        <w:t xml:space="preserve"> Allergy, parasites, or Hodgkin Lymphoma.</w:t>
      </w:r>
    </w:p>
    <w:p>
      <w:r>
        <w:t xml:space="preserve">4.  </w:t>
      </w:r>
      <w:r>
        <w:rPr>
          <w:b/>
        </w:rPr>
        <w:t>Platelets:</w:t>
      </w:r>
      <w:r>
        <w:t xml:space="preserve"> Assess for thrombocytopenia (bleeding risk) or thrombocytosis (inflammation/myeloproliferative disorders).</w:t>
      </w:r>
    </w:p>
    <w:p>
      <w:r>
        <w:t xml:space="preserve">5.  </w:t>
      </w:r>
      <w:r>
        <w:rPr>
          <w:b/>
        </w:rPr>
        <w:t>Blood Film/Peripheral Smear:</w:t>
      </w:r>
      <w:r>
        <w:t xml:space="preserve"> Look for pathognomonic cells:</w:t>
      </w:r>
    </w:p>
    <w:p>
      <w:r>
        <w:t xml:space="preserve">*   </w:t>
      </w:r>
      <w:r>
        <w:rPr>
          <w:b/>
        </w:rPr>
        <w:t>Target cells:</w:t>
      </w:r>
      <w:r>
        <w:t xml:space="preserve"> Thalassaemia.</w:t>
      </w:r>
    </w:p>
    <w:p>
      <w:r>
        <w:t xml:space="preserve">*   </w:t>
      </w:r>
      <w:r>
        <w:rPr>
          <w:b/>
        </w:rPr>
        <w:t>Schistocytes:</w:t>
      </w:r>
      <w:r>
        <w:t xml:space="preserve"> Microangiopathic haemolytic anaemia (MAHA), DIC, or TTP.</w:t>
      </w:r>
    </w:p>
    <w:p>
      <w:r>
        <w:t xml:space="preserve">*   </w:t>
      </w:r>
      <w:r>
        <w:rPr>
          <w:b/>
        </w:rPr>
        <w:t>Spherocytes:</w:t>
      </w:r>
      <w:r>
        <w:t xml:space="preserve"> Hereditary spherocytosis or autoimmune haemolysis.</w:t>
      </w:r>
    </w:p>
    <w:p>
      <w:r>
        <w:t>---</w:t>
      </w:r>
    </w:p>
    <w:p>
      <w:pPr>
        <w:pStyle w:val="Heading2"/>
      </w:pPr>
      <w:r>
        <w:t>2. Microcytic Hypochromic Anaemia</w:t>
      </w:r>
    </w:p>
    <w:p>
      <w:pPr>
        <w:pStyle w:val="Heading3"/>
      </w:pPr>
      <w:r>
        <w:t>Differential Diagnosis</w:t>
      </w:r>
    </w:p>
    <w:p>
      <w:r>
        <w:t>The primary causes include Iron Deficiency Anaemia (IDA), Thalassaemia, Anaemia of Chronic Disease (ACD), and Sideroblastic Anaemia.</w:t>
      </w:r>
    </w:p>
    <w:p>
      <w:pPr>
        <w:pStyle w:val="Heading3"/>
      </w:pPr>
      <w:r>
        <w:t>Investigation via Iron Studies</w:t>
      </w:r>
    </w:p>
    <w:p>
      <w:r>
        <w:t xml:space="preserve">*   </w:t>
      </w:r>
      <w:r>
        <w:rPr>
          <w:b/>
        </w:rPr>
        <w:t>Serum Ferritin:</w:t>
      </w:r>
      <w:r>
        <w:t xml:space="preserve"> The most specific marker. </w:t>
      </w:r>
      <w:r>
        <w:rPr>
          <w:b/>
        </w:rPr>
        <w:t>Low ferritin is diagnostic of iron deficiency.</w:t>
      </w:r>
      <w:r/>
    </w:p>
    <w:p>
      <w:r>
        <w:t>*   *Note:* Ferritin is an acute-phase reactant; it may appear normal/high in inflammatory states despite underlying iron deficiency.</w:t>
      </w:r>
    </w:p>
    <w:p>
      <w:r>
        <w:t xml:space="preserve">*   </w:t>
      </w:r>
      <w:r>
        <w:rPr>
          <w:b/>
        </w:rPr>
        <w:t>Transferrin / Total Iron-Binding Capacity (TIBC):</w:t>
      </w:r>
      <w:r>
        <w:t xml:space="preserve"> In IDA, transferrin production increases (</w:t>
      </w:r>
      <w:r>
        <w:rPr>
          <w:b/>
        </w:rPr>
        <w:t>High TIBC</w:t>
      </w:r>
      <w:r>
        <w:t>).</w:t>
      </w:r>
    </w:p>
    <w:p>
      <w:r>
        <w:t xml:space="preserve">*   </w:t>
      </w:r>
      <w:r>
        <w:rPr>
          <w:b/>
        </w:rPr>
        <w:t>Serum Iron:</w:t>
      </w:r>
      <w:r>
        <w:t xml:space="preserve"> Measures circulating iron; highly variable.</w:t>
      </w:r>
    </w:p>
    <w:p>
      <w:r>
        <w:t xml:space="preserve">*   </w:t>
      </w:r>
      <w:r>
        <w:rPr>
          <w:b/>
        </w:rPr>
        <w:t>Transferrin Saturation (TSAT):</w:t>
      </w:r>
      <w:r>
        <w:t xml:space="preserve"> (Serum Iron / TIBC) x 100. </w:t>
      </w:r>
      <w:r>
        <w:rPr>
          <w:b/>
        </w:rPr>
        <w:t>TSAT &lt;20%</w:t>
      </w:r>
      <w:r>
        <w:t xml:space="preserve"> supports a diagnosis of IDA.</w:t>
      </w:r>
    </w:p>
    <w:p>
      <w:pPr>
        <w:pStyle w:val="Heading3"/>
      </w:pPr>
      <w:r>
        <w:t>Clinical Pearls</w:t>
      </w:r>
    </w:p>
    <w:p>
      <w:r>
        <w:t xml:space="preserve">*   </w:t>
      </w:r>
      <w:r>
        <w:rPr>
          <w:b/>
        </w:rPr>
        <w:t>Infection Risk:</w:t>
      </w:r>
      <w:r>
        <w:t xml:space="preserve"> IDA compromises immune function (lymphocyte and neutrophil activity), predisposing patients to increased infection.</w:t>
      </w:r>
    </w:p>
    <w:p>
      <w:r>
        <w:t xml:space="preserve">*   </w:t>
      </w:r>
      <w:r>
        <w:rPr>
          <w:b/>
        </w:rPr>
        <w:t>Management:</w:t>
      </w:r>
      <w:r>
        <w:t xml:space="preserve"> If IDA is confirmed (Ferritin &lt;30 µg/L), clinicians must investigate the underlying cause (e.g., GI malignancy, menstrual loss).</w:t>
      </w:r>
    </w:p>
    <w:p>
      <w:r>
        <w:t>---</w:t>
      </w:r>
    </w:p>
    <w:p>
      <w:pPr>
        <w:pStyle w:val="Heading2"/>
      </w:pPr>
      <w:r>
        <w:t>3. Anticoagulation and Haemostasis</w:t>
      </w:r>
    </w:p>
    <w:p>
      <w:pPr>
        <w:pStyle w:val="Heading3"/>
      </w:pPr>
      <w:r>
        <w:t>Apixaban (Direct Oral Anticoagulant)</w:t>
      </w:r>
    </w:p>
    <w:p>
      <w:r>
        <w:t xml:space="preserve">Apixaban is a selective </w:t>
      </w:r>
      <w:r>
        <w:rPr>
          <w:b/>
        </w:rPr>
        <w:t>Factor Xa inhibitor</w:t>
      </w:r>
      <w:r>
        <w:t xml:space="preserve"> used for stroke prevention in non-valvular AF and VTE management.</w:t>
      </w:r>
    </w:p>
    <w:p>
      <w:r>
        <w:t xml:space="preserve">*   </w:t>
      </w:r>
      <w:r>
        <w:rPr>
          <w:b/>
        </w:rPr>
        <w:t>Advantages:</w:t>
      </w:r>
      <w:r>
        <w:t xml:space="preserve"> Predictable kinetics, no routine INR monitoring, fewer drug interactions than Warfarin.</w:t>
      </w:r>
    </w:p>
    <w:p>
      <w:r>
        <w:t xml:space="preserve">*   </w:t>
      </w:r>
      <w:r>
        <w:rPr>
          <w:b/>
        </w:rPr>
        <w:t>Considerations:</w:t>
      </w:r>
      <w:r>
        <w:t xml:space="preserve"> Requires dose adjustment in renal impairment. Reversal agent: </w:t>
      </w:r>
      <w:r>
        <w:rPr>
          <w:b/>
        </w:rPr>
        <w:t>Andexanet alfa</w:t>
      </w:r>
      <w:r>
        <w:t>.</w:t>
      </w:r>
    </w:p>
    <w:p>
      <w:pPr>
        <w:pStyle w:val="Heading3"/>
      </w:pPr>
      <w:r>
        <w:t>Management of Breakthrough VTE</w:t>
      </w:r>
    </w:p>
    <w:p>
      <w:r>
        <w:t>"Breakthrough VTE" occurs when a patient develops a clot (e.g., PE) while on prophylactic-dose anticoagulation (e.g., Enoxaparin 20mg/40mg).</w:t>
      </w:r>
    </w:p>
    <w:p>
      <w:r>
        <w:t xml:space="preserve">*   </w:t>
      </w:r>
      <w:r>
        <w:rPr>
          <w:b/>
        </w:rPr>
        <w:t>Action:</w:t>
      </w:r>
      <w:r>
        <w:t xml:space="preserve"> Immediately stop prophylactic dosing and escalate to </w:t>
      </w:r>
      <w:r>
        <w:rPr>
          <w:b/>
        </w:rPr>
        <w:t>full therapeutic anticoagulation</w:t>
      </w:r>
      <w:r>
        <w:t>.</w:t>
      </w:r>
    </w:p>
    <w:p>
      <w:r>
        <w:t xml:space="preserve">*   </w:t>
      </w:r>
      <w:r>
        <w:rPr>
          <w:b/>
        </w:rPr>
        <w:t>Choice of Agent:</w:t>
      </w:r>
      <w:r>
        <w:t xml:space="preserve"> DOACs (Apixaban/Rivaroxaban) are first-line for stable patients. IV Unfractionated Heparin (UFH) is preferred if there is high bleeding risk or severe renal impairment.</w:t>
      </w:r>
    </w:p>
    <w:p>
      <w:pPr>
        <w:pStyle w:val="Heading3"/>
      </w:pPr>
      <w:r>
        <w:t>Disseminated Intravascular Coagulation (DIC)</w:t>
      </w:r>
    </w:p>
    <w:p>
      <w:r>
        <w:t>DIC is a consumption coagulopathy. Key laboratory findings include:</w:t>
      </w:r>
    </w:p>
    <w:p>
      <w:r>
        <w:t xml:space="preserve">*   </w:t>
      </w:r>
      <w:r>
        <w:rPr>
          <w:b/>
        </w:rPr>
        <w:t>Decreased Fibrinogen</w:t>
      </w:r>
      <w:r>
        <w:t xml:space="preserve"> (consumed during microvascular thrombosis).</w:t>
      </w:r>
    </w:p>
    <w:p>
      <w:r>
        <w:t xml:space="preserve">*   </w:t>
      </w:r>
      <w:r>
        <w:rPr>
          <w:b/>
        </w:rPr>
        <w:t>Elevated D-dimer.</w:t>
      </w:r>
      <w:r/>
    </w:p>
    <w:p>
      <w:r>
        <w:t xml:space="preserve">*   </w:t>
      </w:r>
      <w:r>
        <w:rPr>
          <w:b/>
        </w:rPr>
        <w:t>Prolonged PT/APTT.</w:t>
      </w:r>
      <w:r/>
    </w:p>
    <w:p>
      <w:r>
        <w:t xml:space="preserve">*   </w:t>
      </w:r>
      <w:r>
        <w:rPr>
          <w:b/>
        </w:rPr>
        <w:t>Thrombocytopenia</w:t>
      </w:r>
      <w:r>
        <w:t xml:space="preserve"> and </w:t>
      </w:r>
      <w:r>
        <w:rPr>
          <w:b/>
        </w:rPr>
        <w:t>Schistocytes</w:t>
      </w:r>
      <w:r>
        <w:t xml:space="preserve"> on blood film.</w:t>
      </w:r>
    </w:p>
    <w:p>
      <w:r>
        <w:t>---</w:t>
      </w:r>
    </w:p>
    <w:p>
      <w:pPr>
        <w:pStyle w:val="Heading2"/>
      </w:pPr>
      <w:r>
        <w:t>4. Haematological Malignancies</w:t>
      </w:r>
    </w:p>
    <w:p>
      <w:pPr>
        <w:pStyle w:val="Heading3"/>
      </w:pPr>
      <w:r>
        <w:t>Hodgkin Lymphoma (HL)</w:t>
      </w:r>
    </w:p>
    <w:p>
      <w:r>
        <w:t xml:space="preserve">*   </w:t>
      </w:r>
      <w:r>
        <w:rPr>
          <w:b/>
        </w:rPr>
        <w:t>Presentation:</w:t>
      </w:r>
      <w:r>
        <w:t xml:space="preserve"> Painless lymphadenopathy (often cervical), </w:t>
      </w:r>
      <w:r>
        <w:rPr>
          <w:b/>
        </w:rPr>
        <w:t>"B" symptoms</w:t>
      </w:r>
      <w:r>
        <w:t xml:space="preserve"> (fever, night sweats, weight loss), and pruritus.</w:t>
      </w:r>
    </w:p>
    <w:p>
      <w:r>
        <w:t xml:space="preserve">*   </w:t>
      </w:r>
      <w:r>
        <w:rPr>
          <w:b/>
        </w:rPr>
        <w:t>Pathology:</w:t>
      </w:r>
      <w:r>
        <w:t xml:space="preserve"> Diagnosed via </w:t>
      </w:r>
      <w:r>
        <w:rPr>
          <w:b/>
        </w:rPr>
        <w:t>excisional lymph node biopsy</w:t>
      </w:r>
      <w:r>
        <w:t xml:space="preserve"> (not FNA). Characterised by </w:t>
      </w:r>
      <w:r>
        <w:rPr>
          <w:b/>
        </w:rPr>
        <w:t>Reed-Sternberg cells</w:t>
      </w:r>
      <w:r>
        <w:t xml:space="preserve"> ("owl-eye" nuclei).</w:t>
      </w:r>
    </w:p>
    <w:p>
      <w:r>
        <w:t xml:space="preserve">*   </w:t>
      </w:r>
      <w:r>
        <w:rPr>
          <w:b/>
        </w:rPr>
        <w:t>Immunophenotype:</w:t>
      </w:r>
      <w:r>
        <w:t xml:space="preserve"> Typically </w:t>
      </w:r>
      <w:r>
        <w:rPr>
          <w:b/>
        </w:rPr>
        <w:t>CD15+ and CD30+</w:t>
      </w:r>
      <w:r>
        <w:t>.</w:t>
      </w:r>
    </w:p>
    <w:p>
      <w:r>
        <w:t xml:space="preserve">*   </w:t>
      </w:r>
      <w:r>
        <w:rPr>
          <w:b/>
        </w:rPr>
        <w:t>Treatment:</w:t>
      </w:r>
      <w:r>
        <w:t xml:space="preserve"> ABVD regimen (Adriamycin, Bleomycin, Vinblastine, Dacarbazine) ± Radiotherapy.</w:t>
      </w:r>
    </w:p>
    <w:p>
      <w:pPr>
        <w:pStyle w:val="Heading3"/>
      </w:pPr>
      <w:r>
        <w:t>Acute Leukemias</w:t>
      </w:r>
    </w:p>
    <w:p>
      <w:r>
        <w:t xml:space="preserve">*   </w:t>
      </w:r>
      <w:r>
        <w:rPr>
          <w:b/>
        </w:rPr>
        <w:t>Presentation:</w:t>
      </w:r>
      <w:r>
        <w:t xml:space="preserve"> Features of bone marrow failure (fatigue, infection, easy bruising/bleeding).</w:t>
      </w:r>
    </w:p>
    <w:p>
      <w:r>
        <w:t xml:space="preserve">*   </w:t>
      </w:r>
      <w:r>
        <w:rPr>
          <w:b/>
        </w:rPr>
        <w:t>Guidelines:</w:t>
      </w:r>
      <w:r>
        <w:t xml:space="preserve"> In Australia, </w:t>
      </w:r>
      <w:r>
        <w:rPr>
          <w:b/>
        </w:rPr>
        <w:t>RACGP does not provide detailed specialist guidelines</w:t>
      </w:r>
      <w:r>
        <w:t xml:space="preserve"> for leukemia. Refer to:</w:t>
      </w:r>
    </w:p>
    <w:p>
      <w:r>
        <w:t xml:space="preserve">*   </w:t>
      </w:r>
      <w:r>
        <w:rPr>
          <w:b/>
        </w:rPr>
        <w:t>Cancer Council Australia:</w:t>
      </w:r>
      <w:r>
        <w:t xml:space="preserve"> For evidence-based clinical practice guidelines.</w:t>
      </w:r>
    </w:p>
    <w:p>
      <w:r>
        <w:t xml:space="preserve">*   </w:t>
      </w:r>
      <w:r>
        <w:rPr>
          <w:b/>
        </w:rPr>
        <w:t>eviQ (Cancer Institute NSW):</w:t>
      </w:r>
      <w:r>
        <w:t xml:space="preserve"> For specific treatment protocols.</w:t>
      </w:r>
    </w:p>
    <w:p>
      <w:r>
        <w:t xml:space="preserve">*   </w:t>
      </w:r>
      <w:r>
        <w:rPr>
          <w:b/>
        </w:rPr>
        <w:t>Therapeutic Guidelines (eTG):</w:t>
      </w:r>
      <w:r>
        <w:t xml:space="preserve"> For initial diagnostic pathways.</w:t>
      </w:r>
    </w:p>
    <w:p>
      <w:r>
        <w:t>---</w:t>
      </w:r>
    </w:p>
    <w:p>
      <w:pPr>
        <w:pStyle w:val="Heading2"/>
      </w:pPr>
      <w:r>
        <w:t>5. Diagnostic Pairing Guide: High LDH</w:t>
      </w:r>
    </w:p>
    <w:p>
      <w:r>
        <w:t>Lactate Dehydrogenase (LDH) is a non-specific marker of cell turnover. Diagnostic clarity is gained by "pairing" LDH with other markers:</w:t>
      </w:r>
    </w:p>
    <w:p>
      <w:r>
        <w:t>| LDH Partner | Suspected Diagnosis |</w:t>
      </w:r>
    </w:p>
    <w:p>
      <w:r>
        <w:t>| :--- | :--- |</w:t>
      </w:r>
    </w:p>
    <w:p>
      <w:r>
        <w:t xml:space="preserve">| </w:t>
      </w:r>
      <w:r>
        <w:rPr>
          <w:b/>
        </w:rPr>
        <w:t>+ High Uric Acid</w:t>
      </w:r>
      <w:r>
        <w:t xml:space="preserve"> | Tumour Lysis Syndrome |</w:t>
      </w:r>
    </w:p>
    <w:p>
      <w:r>
        <w:t xml:space="preserve">| </w:t>
      </w:r>
      <w:r>
        <w:rPr>
          <w:b/>
        </w:rPr>
        <w:t>+ High Creatine Kinase (CK)</w:t>
      </w:r>
      <w:r>
        <w:t xml:space="preserve"> | Rhabdomyolysis / Muscle Injury |</w:t>
      </w:r>
    </w:p>
    <w:p>
      <w:r>
        <w:t xml:space="preserve">| </w:t>
      </w:r>
      <w:r>
        <w:rPr>
          <w:b/>
        </w:rPr>
        <w:t>+ High AST/ALT</w:t>
      </w:r>
      <w:r>
        <w:t xml:space="preserve"> | Ischaemic or Acute Hepatitis |</w:t>
      </w:r>
    </w:p>
    <w:p>
      <w:r>
        <w:t xml:space="preserve">| </w:t>
      </w:r>
      <w:r>
        <w:rPr>
          <w:b/>
        </w:rPr>
        <w:t>+ High Indirect Bilirubin / Low Haptoglobin</w:t>
      </w:r>
      <w:r>
        <w:t xml:space="preserve"> | Haemolysis |</w:t>
      </w:r>
    </w:p>
    <w:p>
      <w:r>
        <w:t xml:space="preserve">| </w:t>
      </w:r>
      <w:r>
        <w:rPr>
          <w:b/>
        </w:rPr>
        <w:t>+ Schistocytes + Thrombocytopenia</w:t>
      </w:r>
      <w:r>
        <w:t xml:space="preserve"> | TTP / HUS (if LDH &gt;1000) |</w:t>
      </w:r>
    </w:p>
    <w:p>
      <w:r>
        <w:t xml:space="preserve">| </w:t>
      </w:r>
      <w:r>
        <w:rPr>
          <w:b/>
        </w:rPr>
        <w:t>Extremely High LDH (&gt;2000)</w:t>
      </w:r>
      <w:r>
        <w:t xml:space="preserve"> | Massive tissue necrosis, TTP, or severe haemolysis |</w:t>
      </w:r>
    </w:p>
    <w:p>
      <w:pPr>
        <w:pStyle w:val="Heading1"/>
      </w:pPr>
      <w:r>
        <w:t>Immunology</w:t>
      </w:r>
    </w:p>
    <w:p>
      <w:pPr>
        <w:pStyle w:val="Heading1"/>
      </w:pPr>
      <w:r>
        <w:t>HLA-B27: Clinical Significance in Seronegative Spondyloarthropathies</w:t>
      </w:r>
    </w:p>
    <w:p>
      <w:r>
        <w:t xml:space="preserve">HLA-B27 is a human leukocyte antigen (HLA) class I molecule with a strong, well-established association with a specific group of autoimmune inflammatory disorders, the </w:t>
      </w:r>
      <w:r>
        <w:rPr>
          <w:b/>
        </w:rPr>
        <w:t>seronegative spondyloarthropathies</w:t>
      </w:r>
      <w:r>
        <w:t>.</w:t>
      </w:r>
    </w:p>
    <w:p>
      <w:pPr>
        <w:pStyle w:val="Heading2"/>
      </w:pPr>
      <w:r>
        <w:t>**Key Clinical Associations (AMC High-Yield)**</w:t>
      </w:r>
    </w:p>
    <w:p>
      <w:r>
        <w:t xml:space="preserve">*   </w:t>
      </w:r>
      <w:r>
        <w:rPr>
          <w:b/>
        </w:rPr>
        <w:t>Strongest Association</w:t>
      </w:r>
      <w:r>
        <w:t xml:space="preserve">: </w:t>
      </w:r>
      <w:r>
        <w:rPr>
          <w:b/>
        </w:rPr>
        <w:t>Ankylosing spondylitis</w:t>
      </w:r>
      <w:r>
        <w:t xml:space="preserve"> (&gt;90% of patients are HLA-B27 positive).</w:t>
      </w:r>
    </w:p>
    <w:p>
      <w:r>
        <w:t xml:space="preserve">*   </w:t>
      </w:r>
      <w:r>
        <w:rPr>
          <w:b/>
        </w:rPr>
        <w:t>Other Major Associated Conditions</w:t>
      </w:r>
      <w:r>
        <w:t>:</w:t>
      </w:r>
    </w:p>
    <w:p>
      <w:r>
        <w:t>*   Reactive arthritis (Reiter's syndrome)</w:t>
      </w:r>
    </w:p>
    <w:p>
      <w:r>
        <w:t>*   Psoriatic arthritis (particularly axial/spinal involvement)</w:t>
      </w:r>
    </w:p>
    <w:p>
      <w:r>
        <w:t>*   Enteropathic arthritis (associated with inflammatory bowel disease - IBD)</w:t>
      </w:r>
    </w:p>
    <w:p>
      <w:r>
        <w:t>*   Acute anterior uveitis (iritis)</w:t>
      </w:r>
    </w:p>
    <w:p>
      <w:pPr>
        <w:pStyle w:val="Heading2"/>
      </w:pPr>
      <w:r>
        <w:t>**Pathophysiology**</w:t>
      </w:r>
    </w:p>
    <w:p>
      <w:r>
        <w:t xml:space="preserve">The leading theory is </w:t>
      </w:r>
      <w:r>
        <w:rPr>
          <w:b/>
        </w:rPr>
        <w:t>molecular mimicry</w:t>
      </w:r>
      <w:r>
        <w:t>. Structural similarity between the HLA-B27 molecule and antigens from certain bacteria (e.g., *Klebsiella*, *Salmonella*) is thought to trigger an aberrant autoimmune response in genetically susceptible individuals.</w:t>
      </w:r>
    </w:p>
    <w:p>
      <w:pPr>
        <w:pStyle w:val="Heading2"/>
      </w:pPr>
      <w:r>
        <w:t>**Diagnostic Utility &amp; Interpretation**</w:t>
      </w:r>
    </w:p>
    <w:p>
      <w:r>
        <w:t xml:space="preserve">*   </w:t>
      </w:r>
      <w:r>
        <w:rPr>
          <w:b/>
        </w:rPr>
        <w:t>Aid, Not a Definitive Test</w:t>
      </w:r>
      <w:r>
        <w:t xml:space="preserve">: HLA-B27 testing is a </w:t>
      </w:r>
      <w:r>
        <w:rPr>
          <w:b/>
        </w:rPr>
        <w:t>diagnostic aid</w:t>
      </w:r>
      <w:r>
        <w:t xml:space="preserve"> to support a clinical diagnosis. It is </w:t>
      </w:r>
      <w:r>
        <w:rPr>
          <w:b/>
        </w:rPr>
        <w:t>not</w:t>
      </w:r>
      <w:r>
        <w:t xml:space="preserve"> a standalone diagnostic or screening test.</w:t>
      </w:r>
    </w:p>
    <w:p>
      <w:r>
        <w:t xml:space="preserve">*   </w:t>
      </w:r>
      <w:r>
        <w:rPr>
          <w:b/>
        </w:rPr>
        <w:t>Clinical Context is Crucial</w:t>
      </w:r>
      <w:r>
        <w:t>: A positive result is meaningful only when supporting a diagnosis in the correct clinical setting (e.g., inflammatory back pain, asymmetric oligoarthritis, acute anterior uveitis).</w:t>
      </w:r>
    </w:p>
    <w:p>
      <w:r>
        <w:t xml:space="preserve">*   </w:t>
      </w:r>
      <w:r>
        <w:rPr>
          <w:b/>
        </w:rPr>
        <w:t>Interpretation Caveat</w:t>
      </w:r>
      <w:r>
        <w:t xml:space="preserve">: The test has limited specificity as HLA-B27 is present in approximately </w:t>
      </w:r>
      <w:r>
        <w:rPr>
          <w:b/>
        </w:rPr>
        <w:t>8% of the healthy Caucasian population</w:t>
      </w:r>
      <w:r>
        <w:t>. A positive result in the absence of suggestive clinical features is not diagnostic of disease.</w:t>
      </w:r>
    </w:p>
    <w:p>
      <w:pPr>
        <w:pStyle w:val="Heading2"/>
      </w:pPr>
      <w:r>
        <w:t>**Management Implication**</w:t>
      </w:r>
    </w:p>
    <w:p>
      <w:r>
        <w:t>Confirming a diagnosis within the HLA-B27-associated spectrum guides long-term management. Treatment typically involves:</w:t>
      </w:r>
    </w:p>
    <w:p>
      <w:r>
        <w:t>*   First-line: NSAIDs and physiotherapy.</w:t>
      </w:r>
    </w:p>
    <w:p>
      <w:r>
        <w:t xml:space="preserve">*   For severe or refractory disease: Biologic agents, particularly </w:t>
      </w:r>
      <w:r>
        <w:rPr>
          <w:b/>
        </w:rPr>
        <w:t>TNF-alpha inhibitors</w:t>
      </w:r>
      <w:r>
        <w:t>.</w:t>
      </w:r>
    </w:p>
    <w:p>
      <w:pPr>
        <w:pStyle w:val="Heading1"/>
      </w:pPr>
      <w:r>
        <w:t>Infectious Diseases</w:t>
      </w:r>
    </w:p>
    <w:p>
      <w:pPr>
        <w:pStyle w:val="Heading1"/>
      </w:pPr>
      <w:r>
        <w:t>Infectious Diseases: High-Yield Clinical Summary (AMC Exam Focus)</w:t>
      </w:r>
    </w:p>
    <w:p>
      <w:r>
        <w:t xml:space="preserve">This document provides a consolidated, professional summary of key infectious disease topics based on current clinical guidelines, including the </w:t>
      </w:r>
      <w:r>
        <w:rPr>
          <w:b/>
        </w:rPr>
        <w:t>Australian Therapeutic Guidelines (eTG)</w:t>
      </w:r>
      <w:r>
        <w:t>.</w:t>
      </w:r>
    </w:p>
    <w:p>
      <w:r>
        <w:t>---</w:t>
      </w:r>
    </w:p>
    <w:p>
      <w:pPr>
        <w:pStyle w:val="Heading2"/>
      </w:pPr>
      <w:r>
        <w:t>1. Cardiovascular Infections: Infective Endocarditis (IE)</w:t>
      </w:r>
    </w:p>
    <w:p>
      <w:r>
        <w:t>Infective Endocarditis is a critical topic for the AMC exam, requiring knowledge of diagnostic criteria and management priorities.</w:t>
      </w:r>
    </w:p>
    <w:p>
      <w:pPr>
        <w:pStyle w:val="Heading3"/>
      </w:pPr>
      <w:r>
        <w:t>**Diagnostic &amp; Management Framework**</w:t>
      </w:r>
    </w:p>
    <w:p>
      <w:r>
        <w:t xml:space="preserve">*   </w:t>
      </w:r>
      <w:r>
        <w:rPr>
          <w:b/>
        </w:rPr>
        <w:t>Gold Standard Reference:</w:t>
      </w:r>
      <w:r>
        <w:t xml:space="preserve"> Therapeutic Guidelines (eTG) – Antibiotic (Cardiovascular system infections).</w:t>
      </w:r>
    </w:p>
    <w:p>
      <w:r>
        <w:t xml:space="preserve">*   </w:t>
      </w:r>
      <w:r>
        <w:rPr>
          <w:b/>
        </w:rPr>
        <w:t>Diagnosis:</w:t>
      </w:r>
      <w:r>
        <w:t xml:space="preserve"> Primarily via the </w:t>
      </w:r>
      <w:r>
        <w:rPr>
          <w:b/>
        </w:rPr>
        <w:t>Modified Duke Criteria</w:t>
      </w:r>
      <w:r>
        <w:t>.</w:t>
      </w:r>
    </w:p>
    <w:p>
      <w:r>
        <w:t xml:space="preserve">*   </w:t>
      </w:r>
      <w:r>
        <w:rPr>
          <w:b/>
        </w:rPr>
        <w:t>Key Organisms &amp; Exposures:</w:t>
      </w:r>
      <w:r/>
    </w:p>
    <w:p>
      <w:r>
        <w:t>*   *Staphylococcus aureus:* Common in IV drug users (IVDU) and healthcare-associated infections.</w:t>
      </w:r>
    </w:p>
    <w:p>
      <w:r>
        <w:t>*   *Viridans group Streptococci:* Historically associated with dental procedures.</w:t>
      </w:r>
    </w:p>
    <w:p>
      <w:r>
        <w:t>*   *HACEK organisms:* Consider in culture-negative IE.</w:t>
      </w:r>
    </w:p>
    <w:p>
      <w:r>
        <w:t xml:space="preserve">*   </w:t>
      </w:r>
      <w:r>
        <w:rPr>
          <w:b/>
        </w:rPr>
        <w:t>Indications for Surgical Intervention:</w:t>
      </w:r>
      <w:r/>
    </w:p>
    <w:p>
      <w:r>
        <w:t>1.  Acute heart failure (secondary to valve dysfunction).</w:t>
      </w:r>
    </w:p>
    <w:p>
      <w:r>
        <w:t>2.  Uncontrolled infection (e.g., abscess, enlarging vegetation, or persistent bacteremia).</w:t>
      </w:r>
    </w:p>
    <w:p>
      <w:r>
        <w:t>3.  Large vegetations (&gt;10mm) with high embolic risk.</w:t>
      </w:r>
    </w:p>
    <w:p>
      <w:r>
        <w:t>4.  Recurrent systemic embolization.</w:t>
      </w:r>
    </w:p>
    <w:p>
      <w:r>
        <w:t xml:space="preserve">*   </w:t>
      </w:r>
      <w:r>
        <w:rPr>
          <w:b/>
        </w:rPr>
        <w:t>Prophylaxis:</w:t>
      </w:r>
      <w:r>
        <w:t xml:space="preserve"> Now highly restricted. Recommended only for </w:t>
      </w:r>
      <w:r>
        <w:rPr>
          <w:b/>
        </w:rPr>
        <w:t>high-risk patients</w:t>
      </w:r>
      <w:r>
        <w:t xml:space="preserve"> (e.g., prosthetic valves, previous IE, certain cyanotic congenital heart diseases) undergoing </w:t>
      </w:r>
      <w:r>
        <w:rPr>
          <w:b/>
        </w:rPr>
        <w:t>high-risk dental procedures</w:t>
      </w:r>
      <w:r>
        <w:t xml:space="preserve"> (involving manipulation of gingival tissue or periapical region of teeth).</w:t>
      </w:r>
    </w:p>
    <w:p>
      <w:r>
        <w:t>---</w:t>
      </w:r>
    </w:p>
    <w:p>
      <w:pPr>
        <w:pStyle w:val="Heading2"/>
      </w:pPr>
      <w:r>
        <w:t>2. Central Nervous System Infections</w:t>
      </w:r>
    </w:p>
    <w:p>
      <w:r>
        <w:t>Meningitis is a medical emergency requiring immediate recognition and empirical treatment.</w:t>
      </w:r>
    </w:p>
    <w:p>
      <w:pPr>
        <w:pStyle w:val="Heading3"/>
      </w:pPr>
      <w:r>
        <w:t>**Bacterial Meningitis**</w:t>
      </w:r>
    </w:p>
    <w:p>
      <w:r>
        <w:t xml:space="preserve">*   </w:t>
      </w:r>
      <w:r>
        <w:rPr>
          <w:b/>
        </w:rPr>
        <w:t>Empirical Management (eTG):</w:t>
      </w:r>
      <w:r/>
    </w:p>
    <w:p>
      <w:r>
        <w:t xml:space="preserve">*   </w:t>
      </w:r>
      <w:r>
        <w:rPr>
          <w:b/>
        </w:rPr>
        <w:t>Adults (≥3 months):</w:t>
      </w:r>
      <w:r>
        <w:t xml:space="preserve"> IV Ceftriaxone (or Cefotaxime) </w:t>
      </w:r>
      <w:r>
        <w:rPr>
          <w:b/>
        </w:rPr>
        <w:t>PLUS</w:t>
      </w:r>
      <w:r>
        <w:t xml:space="preserve"> IV Dexamethasone (administered prior to or with the first antibiotic dose).</w:t>
      </w:r>
    </w:p>
    <w:p>
      <w:r>
        <w:t xml:space="preserve">*   </w:t>
      </w:r>
      <w:r>
        <w:rPr>
          <w:b/>
        </w:rPr>
        <w:t>Risk for *Listeria* (Age &gt;50, Immunocompromised, Pregnant):</w:t>
      </w:r>
      <w:r>
        <w:t xml:space="preserve"> Add high-dose IV Amoxicillin or Ampicillin.</w:t>
      </w:r>
    </w:p>
    <w:p>
      <w:r>
        <w:t xml:space="preserve">*   </w:t>
      </w:r>
      <w:r>
        <w:rPr>
          <w:b/>
        </w:rPr>
        <w:t>Timing:</w:t>
      </w:r>
      <w:r>
        <w:t xml:space="preserve"> Administer antibiotics within </w:t>
      </w:r>
      <w:r>
        <w:rPr>
          <w:b/>
        </w:rPr>
        <w:t>1 hour</w:t>
      </w:r>
      <w:r>
        <w:t xml:space="preserve"> of recognition. Perform blood cultures first, but do not delay treatment for imaging or lumbar puncture (LP).</w:t>
      </w:r>
    </w:p>
    <w:p>
      <w:r>
        <w:t xml:space="preserve">*   </w:t>
      </w:r>
      <w:r>
        <w:rPr>
          <w:b/>
        </w:rPr>
        <w:t>Pathogens by Age Group:</w:t>
      </w:r>
      <w:r/>
    </w:p>
    <w:p>
      <w:r>
        <w:t xml:space="preserve">*   </w:t>
      </w:r>
      <w:r>
        <w:rPr>
          <w:b/>
        </w:rPr>
        <w:t>Neonates:</w:t>
      </w:r>
      <w:r>
        <w:t xml:space="preserve"> Group B Streptococcus, *E. coli*, *Listeria*.</w:t>
      </w:r>
    </w:p>
    <w:p>
      <w:r>
        <w:t xml:space="preserve">*   </w:t>
      </w:r>
      <w:r>
        <w:rPr>
          <w:b/>
        </w:rPr>
        <w:t>Teens/Young Adults:</w:t>
      </w:r>
      <w:r>
        <w:t xml:space="preserve"> *Neisseria meningitidis*.</w:t>
      </w:r>
    </w:p>
    <w:p>
      <w:r>
        <w:t xml:space="preserve">*   </w:t>
      </w:r>
      <w:r>
        <w:rPr>
          <w:b/>
        </w:rPr>
        <w:t>Adults:</w:t>
      </w:r>
      <w:r>
        <w:t xml:space="preserve"> *Streptococcus pneumoniae*.</w:t>
      </w:r>
    </w:p>
    <w:p>
      <w:r>
        <w:t xml:space="preserve">*   </w:t>
      </w:r>
      <w:r>
        <w:rPr>
          <w:b/>
        </w:rPr>
        <w:t>Contraindications to Immediate LP:</w:t>
      </w:r>
      <w:r>
        <w:t xml:space="preserve"> Altered mental status, papilledema, or focal neurological deficits require CT/MRI first to rule out raised intracranial pressure/mass effect.</w:t>
      </w:r>
    </w:p>
    <w:p>
      <w:pPr>
        <w:pStyle w:val="Heading3"/>
      </w:pPr>
      <w:r>
        <w:t>**Cryptococcal Meningitis**</w:t>
      </w:r>
    </w:p>
    <w:p>
      <w:r>
        <w:t xml:space="preserve">*   </w:t>
      </w:r>
      <w:r>
        <w:rPr>
          <w:b/>
        </w:rPr>
        <w:t>Context:</w:t>
      </w:r>
      <w:r>
        <w:t xml:space="preserve"> Major opportunistic infection in HIV (CD4 &lt;100) or post-transplant.</w:t>
      </w:r>
    </w:p>
    <w:p>
      <w:r>
        <w:t xml:space="preserve">*   </w:t>
      </w:r>
      <w:r>
        <w:rPr>
          <w:b/>
        </w:rPr>
        <w:t>Diagnosis:</w:t>
      </w:r>
      <w:r>
        <w:t xml:space="preserve"> LP with India Ink stain and Cryptococcal Antigen (CrAg). Measure opening pressure (often elevated).</w:t>
      </w:r>
    </w:p>
    <w:p>
      <w:r>
        <w:t xml:space="preserve">*   </w:t>
      </w:r>
      <w:r>
        <w:rPr>
          <w:b/>
        </w:rPr>
        <w:t>Management:</w:t>
      </w:r>
      <w:r/>
    </w:p>
    <w:p>
      <w:r>
        <w:t xml:space="preserve">1.  </w:t>
      </w:r>
      <w:r>
        <w:rPr>
          <w:b/>
        </w:rPr>
        <w:t>Induction:</w:t>
      </w:r>
      <w:r>
        <w:t xml:space="preserve"> Amphotericin B + Flucytosine (min. 2 weeks).</w:t>
      </w:r>
    </w:p>
    <w:p>
      <w:r>
        <w:t xml:space="preserve">2.  </w:t>
      </w:r>
      <w:r>
        <w:rPr>
          <w:b/>
        </w:rPr>
        <w:t>Consolidation:</w:t>
      </w:r>
      <w:r>
        <w:t xml:space="preserve"> High-dose Fluconazole (8 weeks).</w:t>
      </w:r>
    </w:p>
    <w:p>
      <w:r>
        <w:t xml:space="preserve">3.  </w:t>
      </w:r>
      <w:r>
        <w:rPr>
          <w:b/>
        </w:rPr>
        <w:t>Maintenance:</w:t>
      </w:r>
      <w:r>
        <w:t xml:space="preserve"> Lifelong Fluconazole until immune reconstitution.</w:t>
      </w:r>
    </w:p>
    <w:p>
      <w:r>
        <w:t xml:space="preserve">4.  </w:t>
      </w:r>
      <w:r>
        <w:rPr>
          <w:b/>
        </w:rPr>
        <w:t>Pressure Management:</w:t>
      </w:r>
      <w:r>
        <w:t xml:space="preserve"> Therapeutic LPs to reduce intracranial pressure.</w:t>
      </w:r>
    </w:p>
    <w:p>
      <w:r>
        <w:t>---</w:t>
      </w:r>
    </w:p>
    <w:p>
      <w:pPr>
        <w:pStyle w:val="Heading2"/>
      </w:pPr>
      <w:r>
        <w:t>3. Gastrointestinal &amp; Travel Medicine</w:t>
      </w:r>
    </w:p>
    <w:p>
      <w:r>
        <w:t>The AMC exam frequently tests the differentiation of diarrheal illnesses based on chronicity and travel history.</w:t>
      </w:r>
    </w:p>
    <w:p>
      <w:pPr>
        <w:pStyle w:val="Heading3"/>
      </w:pPr>
      <w:r>
        <w:t>**Amoebiasis (*Entamoeba histolytica*)**</w:t>
      </w:r>
    </w:p>
    <w:p>
      <w:r>
        <w:t xml:space="preserve">*   </w:t>
      </w:r>
      <w:r>
        <w:rPr>
          <w:b/>
        </w:rPr>
        <w:t>AMC High-Yield Pearl:</w:t>
      </w:r>
      <w:r>
        <w:t xml:space="preserve"> A history of travel to </w:t>
      </w:r>
      <w:r>
        <w:rPr>
          <w:b/>
        </w:rPr>
        <w:t>New Zealand</w:t>
      </w:r>
      <w:r>
        <w:t xml:space="preserve"> or Australia with </w:t>
      </w:r>
      <w:r>
        <w:rPr>
          <w:b/>
        </w:rPr>
        <w:t>chronic bloody diarrhea</w:t>
      </w:r>
      <w:r>
        <w:t xml:space="preserve"> (&gt;2 weeks) strongly suggests Amoebiasis.</w:t>
      </w:r>
    </w:p>
    <w:p>
      <w:r>
        <w:t xml:space="preserve">*   </w:t>
      </w:r>
      <w:r>
        <w:rPr>
          <w:b/>
        </w:rPr>
        <w:t>Differentiators:</w:t>
      </w:r>
      <w:r/>
    </w:p>
    <w:p>
      <w:r>
        <w:t xml:space="preserve">*   </w:t>
      </w:r>
      <w:r>
        <w:rPr>
          <w:b/>
        </w:rPr>
        <w:t>Giardiasis:</w:t>
      </w:r>
      <w:r>
        <w:t xml:space="preserve"> Also common in hikers but causes *non-bloody*, fatty, foul-smelling stools.</w:t>
      </w:r>
    </w:p>
    <w:p>
      <w:r>
        <w:t xml:space="preserve">*   </w:t>
      </w:r>
      <w:r>
        <w:rPr>
          <w:b/>
        </w:rPr>
        <w:t>ETEC/Traveler's Diarrhea:</w:t>
      </w:r>
      <w:r>
        <w:t xml:space="preserve"> Acute and watery; usually shorter incubation.</w:t>
      </w:r>
    </w:p>
    <w:p>
      <w:r>
        <w:t xml:space="preserve">*   </w:t>
      </w:r>
      <w:r>
        <w:rPr>
          <w:b/>
        </w:rPr>
        <w:t>Incubation:</w:t>
      </w:r>
      <w:r>
        <w:t xml:space="preserve"> Amoebiasis has a long incubation period (weeks to months).</w:t>
      </w:r>
    </w:p>
    <w:p>
      <w:r>
        <w:t xml:space="preserve">*   </w:t>
      </w:r>
      <w:r>
        <w:rPr>
          <w:b/>
        </w:rPr>
        <w:t>Treatment:</w:t>
      </w:r>
      <w:r>
        <w:t xml:space="preserve"> Metronidazole or Tinidazole (for invasive disease) followed by a luminal agent (e.g., Paromomycin) to clear cysts.</w:t>
      </w:r>
    </w:p>
    <w:p>
      <w:pPr>
        <w:pStyle w:val="Heading3"/>
      </w:pPr>
      <w:r>
        <w:t>**Clostridioides difficile Infection (CDI)**</w:t>
      </w:r>
    </w:p>
    <w:p>
      <w:r>
        <w:t xml:space="preserve">*   </w:t>
      </w:r>
      <w:r>
        <w:rPr>
          <w:b/>
        </w:rPr>
        <w:t>First Episode:</w:t>
      </w:r>
      <w:r>
        <w:t xml:space="preserve"> Oral Vancomycin is preferred over Metronidazole.</w:t>
      </w:r>
    </w:p>
    <w:p>
      <w:r>
        <w:t xml:space="preserve">*   </w:t>
      </w:r>
      <w:r>
        <w:rPr>
          <w:b/>
        </w:rPr>
        <w:t>Recurrence:</w:t>
      </w:r>
      <w:r>
        <w:t xml:space="preserve"> Fidaxomicin or a tapered Vancomycin pulse regimen.</w:t>
      </w:r>
    </w:p>
    <w:p>
      <w:pPr>
        <w:pStyle w:val="Heading3"/>
      </w:pPr>
      <w:r>
        <w:t>**Empirical Traveler’s Diarrhea**</w:t>
      </w:r>
    </w:p>
    <w:p>
      <w:r>
        <w:t xml:space="preserve">*   </w:t>
      </w:r>
      <w:r>
        <w:rPr>
          <w:b/>
        </w:rPr>
        <w:t>Management:</w:t>
      </w:r>
      <w:r>
        <w:t xml:space="preserve"> Oral rehydration is primary.</w:t>
      </w:r>
    </w:p>
    <w:p>
      <w:r>
        <w:t xml:space="preserve">*   </w:t>
      </w:r>
      <w:r>
        <w:rPr>
          <w:b/>
        </w:rPr>
        <w:t>Antibiotics:</w:t>
      </w:r>
      <w:r>
        <w:t xml:space="preserve"> Azithromycin is generally preferred over Fluoroquinolones (due to high *Campylobacter* resistance in regions like Southeast Asia).</w:t>
      </w:r>
    </w:p>
    <w:p>
      <w:r>
        <w:t>---</w:t>
      </w:r>
    </w:p>
    <w:p>
      <w:pPr>
        <w:pStyle w:val="Heading2"/>
      </w:pPr>
      <w:r>
        <w:t>4. Viral Hepatitis</w:t>
      </w:r>
    </w:p>
    <w:p>
      <w:r>
        <w:t>Correct interpretation of serological markers is essential for clinical practice.</w:t>
      </w:r>
    </w:p>
    <w:p>
      <w:pPr>
        <w:pStyle w:val="Heading3"/>
      </w:pPr>
      <w:r>
        <w:t>**Hepatitis B (HBV)**</w:t>
      </w:r>
    </w:p>
    <w:p>
      <w:r>
        <w:t xml:space="preserve">*   </w:t>
      </w:r>
      <w:r>
        <w:rPr>
          <w:b/>
        </w:rPr>
        <w:t>HBsAg Positive:</w:t>
      </w:r>
      <w:r>
        <w:t xml:space="preserve"> Indicates infection.</w:t>
      </w:r>
    </w:p>
    <w:p>
      <w:r>
        <w:t xml:space="preserve">*   </w:t>
      </w:r>
      <w:r>
        <w:rPr>
          <w:b/>
        </w:rPr>
        <w:t>Anti-HBc IgM:</w:t>
      </w:r>
      <w:r>
        <w:t xml:space="preserve"> Indicates </w:t>
      </w:r>
      <w:r>
        <w:rPr>
          <w:b/>
        </w:rPr>
        <w:t>Acute Infection</w:t>
      </w:r>
      <w:r>
        <w:t xml:space="preserve"> (&lt;6 months).</w:t>
      </w:r>
    </w:p>
    <w:p>
      <w:r>
        <w:t xml:space="preserve">*   </w:t>
      </w:r>
      <w:r>
        <w:rPr>
          <w:b/>
        </w:rPr>
        <w:t>Anti-HBc IgG:</w:t>
      </w:r>
      <w:r>
        <w:t xml:space="preserve"> Indicates </w:t>
      </w:r>
      <w:r>
        <w:rPr>
          <w:b/>
        </w:rPr>
        <w:t>Chronic Infection</w:t>
      </w:r>
      <w:r>
        <w:t xml:space="preserve"> (&gt;6 months) or past resolved infection.</w:t>
      </w:r>
    </w:p>
    <w:p>
      <w:r>
        <w:t xml:space="preserve">*   </w:t>
      </w:r>
      <w:r>
        <w:rPr>
          <w:b/>
        </w:rPr>
        <w:t>Treatment:</w:t>
      </w:r>
      <w:r>
        <w:t xml:space="preserve"> First-line agents include Tenofovir or Entecavir.</w:t>
      </w:r>
    </w:p>
    <w:p>
      <w:pPr>
        <w:pStyle w:val="Heading3"/>
      </w:pPr>
      <w:r>
        <w:t>**Hepatitis C (HCV)**</w:t>
      </w:r>
    </w:p>
    <w:p>
      <w:r>
        <w:t xml:space="preserve">1.  </w:t>
      </w:r>
      <w:r>
        <w:rPr>
          <w:b/>
        </w:rPr>
        <w:t>Screening:</w:t>
      </w:r>
      <w:r>
        <w:t xml:space="preserve"> Anti-HCV antibody (indicates exposure).</w:t>
      </w:r>
    </w:p>
    <w:p>
      <w:r>
        <w:t xml:space="preserve">2.  </w:t>
      </w:r>
      <w:r>
        <w:rPr>
          <w:b/>
        </w:rPr>
        <w:t>Confirmation:</w:t>
      </w:r>
      <w:r>
        <w:t xml:space="preserve"> HCV RNA PCR (confirms </w:t>
      </w:r>
      <w:r>
        <w:rPr>
          <w:b/>
        </w:rPr>
        <w:t>active infection</w:t>
      </w:r>
      <w:r>
        <w:t>).</w:t>
      </w:r>
    </w:p>
    <w:p>
      <w:r>
        <w:t xml:space="preserve">3.  </w:t>
      </w:r>
      <w:r>
        <w:rPr>
          <w:b/>
        </w:rPr>
        <w:t>Treatment:</w:t>
      </w:r>
      <w:r>
        <w:t xml:space="preserve"> Direct-acting antivirals (DAAs) provide &gt;95% cure rate and are PBS-subsidized in Australia.</w:t>
      </w:r>
    </w:p>
    <w:p>
      <w:r>
        <w:t>---</w:t>
      </w:r>
    </w:p>
    <w:p>
      <w:pPr>
        <w:pStyle w:val="Heading2"/>
      </w:pPr>
      <w:r>
        <w:t>5. Viral Exanthems &amp; Herpesviruses</w:t>
      </w:r>
    </w:p>
    <w:p>
      <w:pPr>
        <w:pStyle w:val="Heading3"/>
      </w:pPr>
      <w:r>
        <w:t>**Herpes Zoster (Shingles)**</w:t>
      </w:r>
    </w:p>
    <w:p>
      <w:r>
        <w:t xml:space="preserve">*   </w:t>
      </w:r>
      <w:r>
        <w:rPr>
          <w:b/>
        </w:rPr>
        <w:t>Management:</w:t>
      </w:r>
      <w:r>
        <w:t xml:space="preserve"> Start antivirals (Valacyclovir) within 72 hours. Treat after 72 hours if new vesicles are appearing, the patient is &gt;50, or ophthalmic involvement is present.</w:t>
      </w:r>
    </w:p>
    <w:p>
      <w:r>
        <w:t xml:space="preserve">*   </w:t>
      </w:r>
      <w:r>
        <w:rPr>
          <w:b/>
        </w:rPr>
        <w:t>Complications:</w:t>
      </w:r>
      <w:r>
        <w:t xml:space="preserve"> Post-herpetic neuralgia (PHN) is the most common. </w:t>
      </w:r>
      <w:r>
        <w:rPr>
          <w:b/>
        </w:rPr>
        <w:t>Hutchinson’s sign</w:t>
      </w:r>
      <w:r>
        <w:t xml:space="preserve"> (vesicles on nose tip) mandates urgent ophthalmology referral for Herpes Zoster Ophthalmicus.</w:t>
      </w:r>
    </w:p>
    <w:p>
      <w:r>
        <w:t xml:space="preserve">*   </w:t>
      </w:r>
      <w:r>
        <w:rPr>
          <w:b/>
        </w:rPr>
        <w:t>Prevention:</w:t>
      </w:r>
      <w:r>
        <w:t xml:space="preserve"> </w:t>
      </w:r>
      <w:r>
        <w:rPr>
          <w:b/>
        </w:rPr>
        <w:t>Shingrix (RZV)</w:t>
      </w:r>
      <w:r>
        <w:t xml:space="preserve"> is the preferred vaccine. Unlike Zostavax, it is </w:t>
      </w:r>
      <w:r>
        <w:rPr>
          <w:b/>
        </w:rPr>
        <w:t>not live</w:t>
      </w:r>
      <w:r>
        <w:t xml:space="preserve"> and is safe/recommended for immunocompromised patients and adults ≥50.</w:t>
      </w:r>
    </w:p>
    <w:p>
      <w:pPr>
        <w:pStyle w:val="Heading3"/>
      </w:pPr>
      <w:r>
        <w:t>**Measles**</w:t>
      </w:r>
    </w:p>
    <w:p>
      <w:r>
        <w:t xml:space="preserve">*   </w:t>
      </w:r>
      <w:r>
        <w:rPr>
          <w:b/>
        </w:rPr>
        <w:t>Most Common Cause of Death:</w:t>
      </w:r>
      <w:r>
        <w:t xml:space="preserve"> Secondary bacterial pneumonia.</w:t>
      </w:r>
    </w:p>
    <w:p>
      <w:r>
        <w:t xml:space="preserve">*   </w:t>
      </w:r>
      <w:r>
        <w:rPr>
          <w:b/>
        </w:rPr>
        <w:t>Most Fatal Complication:</w:t>
      </w:r>
      <w:r>
        <w:t xml:space="preserve"> Subacute sclerosing panencephalitis (SSPE)—a rare, late neurodegenerative disease (7–10 years post-infection).</w:t>
      </w:r>
    </w:p>
    <w:p>
      <w:r>
        <w:t>---</w:t>
      </w:r>
    </w:p>
    <w:p>
      <w:pPr>
        <w:pStyle w:val="Heading2"/>
      </w:pPr>
      <w:r>
        <w:t>6. Antibiotic Stewardship &amp; Pharmacology</w:t>
      </w:r>
    </w:p>
    <w:p>
      <w:pPr>
        <w:pStyle w:val="Heading3"/>
      </w:pPr>
      <w:r>
        <w:t>**Vancomycin Dosing and Monitoring**</w:t>
      </w:r>
    </w:p>
    <w:p>
      <w:r>
        <w:t xml:space="preserve">*   </w:t>
      </w:r>
      <w:r>
        <w:rPr>
          <w:b/>
        </w:rPr>
        <w:t>Indication:</w:t>
      </w:r>
      <w:r>
        <w:t xml:space="preserve"> MRSA, Coagulase-negative Staph, and oral use for *C. difficile*.</w:t>
      </w:r>
    </w:p>
    <w:p>
      <w:r>
        <w:t xml:space="preserve">*   </w:t>
      </w:r>
      <w:r>
        <w:rPr>
          <w:b/>
        </w:rPr>
        <w:t>Monitoring:</w:t>
      </w:r>
      <w:r>
        <w:t xml:space="preserve"> Trough levels should be drawn just before the 4th dose (steady state).</w:t>
      </w:r>
    </w:p>
    <w:p>
      <w:r>
        <w:t xml:space="preserve">*   </w:t>
      </w:r>
      <w:r>
        <w:rPr>
          <w:b/>
        </w:rPr>
        <w:t>15–20 mg/L:</w:t>
      </w:r>
      <w:r>
        <w:t xml:space="preserve"> For serious infections (Endocarditis, Pneumonia, Osteomyelitis).</w:t>
      </w:r>
    </w:p>
    <w:p>
      <w:r>
        <w:t xml:space="preserve">*   </w:t>
      </w:r>
      <w:r>
        <w:rPr>
          <w:b/>
        </w:rPr>
        <w:t>10–15 mg/L:</w:t>
      </w:r>
      <w:r>
        <w:t xml:space="preserve"> For mild-to-moderate infections.</w:t>
      </w:r>
    </w:p>
    <w:p>
      <w:r>
        <w:t xml:space="preserve">*   </w:t>
      </w:r>
      <w:r>
        <w:rPr>
          <w:b/>
        </w:rPr>
        <w:t>Side Effects:</w:t>
      </w:r>
      <w:r>
        <w:t xml:space="preserve"> Nephrotoxicity (monitor renal function) and Red Man Syndrome (prevented by slowing infusion rate).</w:t>
      </w:r>
    </w:p>
    <w:p>
      <w:pPr>
        <w:pStyle w:val="Heading3"/>
      </w:pPr>
      <w:r>
        <w:t>**Beta-Lactam Allergy &amp; Cross-Reactivity**</w:t>
      </w:r>
    </w:p>
    <w:p>
      <w:r>
        <w:t xml:space="preserve">*   </w:t>
      </w:r>
      <w:r>
        <w:rPr>
          <w:b/>
        </w:rPr>
        <w:t>Key Concept:</w:t>
      </w:r>
      <w:r>
        <w:t xml:space="preserve"> Allergy is often drug-specific (based on </w:t>
      </w:r>
      <w:r>
        <w:rPr>
          <w:b/>
        </w:rPr>
        <w:t>R1 side chains</w:t>
      </w:r>
      <w:r>
        <w:t>) rather than class-wide.</w:t>
      </w:r>
    </w:p>
    <w:p>
      <w:r>
        <w:t xml:space="preserve">*   </w:t>
      </w:r>
      <w:r>
        <w:rPr>
          <w:b/>
        </w:rPr>
        <w:t>Penicillin to Cephalosporin:</w:t>
      </w:r>
      <w:r>
        <w:t xml:space="preserve"> Cross-reactivity is low (~1–3%). Later-generation cephalosporins are often safe.</w:t>
      </w:r>
    </w:p>
    <w:p>
      <w:r>
        <w:t xml:space="preserve">*   </w:t>
      </w:r>
      <w:r>
        <w:rPr>
          <w:b/>
        </w:rPr>
        <w:t>Cefazolin:</w:t>
      </w:r>
      <w:r>
        <w:t xml:space="preserve"> A specific cefazolin allergy does not automatically imply allergy to all penicillins or all other cephalosporins.</w:t>
      </w:r>
    </w:p>
    <w:p>
      <w:r>
        <w:t xml:space="preserve">*   </w:t>
      </w:r>
      <w:r>
        <w:rPr>
          <w:b/>
        </w:rPr>
        <w:t>Stewardship:</w:t>
      </w:r>
      <w:r>
        <w:t xml:space="preserve"> Review and narrow therapy based on clinical response and culture results. Avoid continuing broad-spectrum therapy without clinical improvement.</w:t>
      </w:r>
    </w:p>
    <w:p>
      <w:r>
        <w:t>---</w:t>
      </w:r>
    </w:p>
    <w:p>
      <w:pPr>
        <w:pStyle w:val="Heading2"/>
      </w:pPr>
      <w:r>
        <w:t>7. Sepsis &amp; Critical Care</w:t>
      </w:r>
    </w:p>
    <w:p>
      <w:r>
        <w:t xml:space="preserve">*   </w:t>
      </w:r>
      <w:r>
        <w:rPr>
          <w:b/>
        </w:rPr>
        <w:t>Recognition:</w:t>
      </w:r>
      <w:r>
        <w:t xml:space="preserve"> Use the "Sepsis Six" / Hour-1 Bundle.</w:t>
      </w:r>
    </w:p>
    <w:p>
      <w:r>
        <w:t xml:space="preserve">*   </w:t>
      </w:r>
      <w:r>
        <w:rPr>
          <w:b/>
        </w:rPr>
        <w:t>Action:</w:t>
      </w:r>
      <w:r>
        <w:t xml:space="preserve"> Administer broad-spectrum IV antibiotics </w:t>
      </w:r>
      <w:r>
        <w:rPr>
          <w:b/>
        </w:rPr>
        <w:t>within 60 minutes</w:t>
      </w:r>
      <w:r>
        <w:t xml:space="preserve"> of suspected sepsis.</w:t>
      </w:r>
    </w:p>
    <w:p>
      <w:r>
        <w:t xml:space="preserve">*   </w:t>
      </w:r>
      <w:r>
        <w:rPr>
          <w:b/>
        </w:rPr>
        <w:t>Golden Rule:</w:t>
      </w:r>
      <w:r>
        <w:t xml:space="preserve"> Take blood cultures *before* antibiotics, provided it does not cause a significant delay in treatment.</w:t>
      </w:r>
    </w:p>
    <w:p>
      <w:pPr>
        <w:pStyle w:val="Heading1"/>
      </w:pPr>
      <w:r>
        <w:t>Nephrology</w:t>
      </w:r>
    </w:p>
    <w:p>
      <w:pPr>
        <w:pStyle w:val="Heading1"/>
      </w:pPr>
      <w:r>
        <w:t>**Nephrology Clinical Review: High-Yield Principles for AMC Examination**</w:t>
      </w:r>
    </w:p>
    <w:p>
      <w:pPr>
        <w:pStyle w:val="Heading2"/>
      </w:pPr>
      <w:r>
        <w:t>**1. Essential Clinical Resources and Guidelines**</w:t>
      </w:r>
    </w:p>
    <w:p>
      <w:r>
        <w:t xml:space="preserve">For the AMC exam, nephrology management is primarily sourced from Australian evidence-based guidelines. Note that the </w:t>
      </w:r>
      <w:r>
        <w:rPr>
          <w:b/>
        </w:rPr>
        <w:t>Therapeutic Guidelines (eTG)</w:t>
      </w:r>
      <w:r>
        <w:t xml:space="preserve"> does not have a standalone nephrology volume; instead, renal content is integrated across multiple modules.</w:t>
      </w:r>
    </w:p>
    <w:p>
      <w:pPr>
        <w:pStyle w:val="Heading3"/>
      </w:pPr>
      <w:r>
        <w:t>**Primary Sources**</w:t>
      </w:r>
    </w:p>
    <w:p>
      <w:r>
        <w:t xml:space="preserve">*   </w:t>
      </w:r>
      <w:r>
        <w:rPr>
          <w:b/>
        </w:rPr>
        <w:t>eTG (Therapeutic Guidelines):</w:t>
      </w:r>
      <w:r>
        <w:t xml:space="preserve"> Refer to *Cardiovascular* (Hypertension/HF), *Endocrinology* (Diabetic Nephropathy), *Infectious Diseases* (UTI/Pyelonephritis), and *Gastrointestinal* (Hepatorenal Syndrome/Electrolytes).</w:t>
      </w:r>
    </w:p>
    <w:p>
      <w:r>
        <w:t xml:space="preserve">*   </w:t>
      </w:r>
      <w:r>
        <w:rPr>
          <w:b/>
        </w:rPr>
        <w:t>CARI Guidelines (Caring for Australasians with Renal Impairment):</w:t>
      </w:r>
      <w:r>
        <w:t xml:space="preserve"> The gold standard for Australian evidence-based kidney disease management.</w:t>
      </w:r>
    </w:p>
    <w:p>
      <w:r>
        <w:t xml:space="preserve">*   </w:t>
      </w:r>
      <w:r>
        <w:rPr>
          <w:b/>
        </w:rPr>
        <w:t>Kidney Health Australia (KHA):</w:t>
      </w:r>
      <w:r>
        <w:t xml:space="preserve"> Specifically the *CKD Management in Primary Care* handbook (highly relevant for GP-style exam questions).</w:t>
      </w:r>
    </w:p>
    <w:p>
      <w:r>
        <w:t>---</w:t>
      </w:r>
    </w:p>
    <w:p>
      <w:pPr>
        <w:pStyle w:val="Heading2"/>
      </w:pPr>
      <w:r>
        <w:t>**2. Acute Kidney Injury (AKI): Differentiation and Diagnosis**</w:t>
      </w:r>
    </w:p>
    <w:p>
      <w:r>
        <w:t>The hallmark of AKI is an acute rise in serum creatinine ± oliguria. Differentiating between pre-renal and intrinsic (tubular) injury is a frequent exam focus.</w:t>
      </w:r>
    </w:p>
    <w:p>
      <w:pPr>
        <w:pStyle w:val="Heading3"/>
      </w:pPr>
      <w:r>
        <w:t>**Pre-renal AKI (Functional)**</w:t>
      </w:r>
    </w:p>
    <w:p>
      <w:r>
        <w:t xml:space="preserve">*   </w:t>
      </w:r>
      <w:r>
        <w:rPr>
          <w:b/>
        </w:rPr>
        <w:t>Pathophysiology:</w:t>
      </w:r>
      <w:r>
        <w:t xml:space="preserve"> Reduced renal perfusion (e.g., dehydration, heart failure, early sepsis). No permanent tubular damage.</w:t>
      </w:r>
    </w:p>
    <w:p>
      <w:r>
        <w:t xml:space="preserve">*   </w:t>
      </w:r>
      <w:r>
        <w:rPr>
          <w:b/>
        </w:rPr>
        <w:t>Urinalysis/Biochemistry:</w:t>
      </w:r>
      <w:r/>
    </w:p>
    <w:p>
      <w:r>
        <w:t xml:space="preserve">*   </w:t>
      </w:r>
      <w:r>
        <w:rPr>
          <w:b/>
        </w:rPr>
        <w:t>BUN:Cr Ratio:</w:t>
      </w:r>
      <w:r>
        <w:t xml:space="preserve"> &gt;20:1</w:t>
      </w:r>
    </w:p>
    <w:p>
      <w:r>
        <w:t xml:space="preserve">*   </w:t>
      </w:r>
      <w:r>
        <w:rPr>
          <w:b/>
        </w:rPr>
        <w:t>Fractional Excretion of Sodium (FeNa):</w:t>
      </w:r>
      <w:r>
        <w:t xml:space="preserve"> &lt;1% (if not on diuretics)</w:t>
      </w:r>
    </w:p>
    <w:p>
      <w:r>
        <w:t xml:space="preserve">*   </w:t>
      </w:r>
      <w:r>
        <w:rPr>
          <w:b/>
        </w:rPr>
        <w:t>Fractional Excretion of Urea (FEUrea):</w:t>
      </w:r>
      <w:r>
        <w:t xml:space="preserve"> &lt;35% (preferred if on diuretics)</w:t>
      </w:r>
    </w:p>
    <w:p>
      <w:r>
        <w:t xml:space="preserve">*   </w:t>
      </w:r>
      <w:r>
        <w:rPr>
          <w:b/>
        </w:rPr>
        <w:t>Urine Sodium:</w:t>
      </w:r>
      <w:r>
        <w:t xml:space="preserve"> &lt;20 mmol/L</w:t>
      </w:r>
    </w:p>
    <w:p>
      <w:r>
        <w:t xml:space="preserve">*   </w:t>
      </w:r>
      <w:r>
        <w:rPr>
          <w:b/>
        </w:rPr>
        <w:t>Urine Osmolality:</w:t>
      </w:r>
      <w:r>
        <w:t xml:space="preserve"> &gt;500 mOsm/kg (concentrated)</w:t>
      </w:r>
    </w:p>
    <w:p>
      <w:r>
        <w:t xml:space="preserve">*   </w:t>
      </w:r>
      <w:r>
        <w:rPr>
          <w:b/>
        </w:rPr>
        <w:t>Sediment:</w:t>
      </w:r>
      <w:r>
        <w:t xml:space="preserve"> Bland / Normal</w:t>
      </w:r>
    </w:p>
    <w:p>
      <w:pPr>
        <w:pStyle w:val="Heading3"/>
      </w:pPr>
      <w:r>
        <w:t>**Intrinsic AKI (e.g., Acute Tubular Necrosis - ATN)**</w:t>
      </w:r>
    </w:p>
    <w:p>
      <w:r>
        <w:t xml:space="preserve">*   </w:t>
      </w:r>
      <w:r>
        <w:rPr>
          <w:b/>
        </w:rPr>
        <w:t>Pathophysiology:</w:t>
      </w:r>
      <w:r>
        <w:t xml:space="preserve"> Direct injury to tubules (e.g., prolonged ischemia, nephrotoxins, late sepsis).</w:t>
      </w:r>
    </w:p>
    <w:p>
      <w:r>
        <w:t xml:space="preserve">*   </w:t>
      </w:r>
      <w:r>
        <w:rPr>
          <w:b/>
        </w:rPr>
        <w:t>Urinalysis/Biochemistry:</w:t>
      </w:r>
      <w:r/>
    </w:p>
    <w:p>
      <w:r>
        <w:t xml:space="preserve">*   </w:t>
      </w:r>
      <w:r>
        <w:rPr>
          <w:b/>
        </w:rPr>
        <w:t>BUN:Cr Ratio:</w:t>
      </w:r>
      <w:r>
        <w:t xml:space="preserve"> 10–15:1</w:t>
      </w:r>
    </w:p>
    <w:p>
      <w:r>
        <w:t xml:space="preserve">*   </w:t>
      </w:r>
      <w:r>
        <w:rPr>
          <w:b/>
        </w:rPr>
        <w:t>FeNa:</w:t>
      </w:r>
      <w:r>
        <w:t xml:space="preserve"> &gt;2%</w:t>
      </w:r>
    </w:p>
    <w:p>
      <w:r>
        <w:t xml:space="preserve">*   </w:t>
      </w:r>
      <w:r>
        <w:rPr>
          <w:b/>
        </w:rPr>
        <w:t>Urine Sodium:</w:t>
      </w:r>
      <w:r>
        <w:t xml:space="preserve"> &gt;40 mmol/L</w:t>
      </w:r>
    </w:p>
    <w:p>
      <w:r>
        <w:t xml:space="preserve">*   </w:t>
      </w:r>
      <w:r>
        <w:rPr>
          <w:b/>
        </w:rPr>
        <w:t>Urine Osmolality:</w:t>
      </w:r>
      <w:r>
        <w:t xml:space="preserve"> &lt;350 mOsm/kg (dilute)</w:t>
      </w:r>
    </w:p>
    <w:p>
      <w:r>
        <w:t xml:space="preserve">*   </w:t>
      </w:r>
      <w:r>
        <w:rPr>
          <w:b/>
        </w:rPr>
        <w:t>Sediment:</w:t>
      </w:r>
      <w:r>
        <w:t xml:space="preserve"> </w:t>
      </w:r>
      <w:r>
        <w:rPr>
          <w:b/>
        </w:rPr>
        <w:t>Muddy brown granular casts</w:t>
      </w:r>
      <w:r>
        <w:t xml:space="preserve"> (pathognomonic for ATN)</w:t>
      </w:r>
    </w:p>
    <w:p>
      <w:pPr>
        <w:pStyle w:val="Heading3"/>
      </w:pPr>
      <w:r>
        <w:t>**Key Bedside Differentiators (Microscopy)**</w:t>
      </w:r>
    </w:p>
    <w:p>
      <w:r>
        <w:t xml:space="preserve">*   </w:t>
      </w:r>
      <w:r>
        <w:rPr>
          <w:b/>
        </w:rPr>
        <w:t>Bland Sediment:</w:t>
      </w:r>
      <w:r>
        <w:t xml:space="preserve"> Pre-renal AKI.</w:t>
      </w:r>
    </w:p>
    <w:p>
      <w:r>
        <w:t xml:space="preserve">*   </w:t>
      </w:r>
      <w:r>
        <w:rPr>
          <w:b/>
        </w:rPr>
        <w:t>Muddy Brown Casts:</w:t>
      </w:r>
      <w:r>
        <w:t xml:space="preserve"> ATN.</w:t>
      </w:r>
    </w:p>
    <w:p>
      <w:r>
        <w:t xml:space="preserve">*   </w:t>
      </w:r>
      <w:r>
        <w:rPr>
          <w:b/>
        </w:rPr>
        <w:t>RBC Casts:</w:t>
      </w:r>
      <w:r>
        <w:t xml:space="preserve"> Glomerulonephritis (GN).</w:t>
      </w:r>
    </w:p>
    <w:p>
      <w:r>
        <w:t xml:space="preserve">*   </w:t>
      </w:r>
      <w:r>
        <w:rPr>
          <w:b/>
        </w:rPr>
        <w:t>WBC Casts / Eosinophils:</w:t>
      </w:r>
      <w:r>
        <w:t xml:space="preserve"> Acute Interstitial Nephritis (AIN).</w:t>
      </w:r>
    </w:p>
    <w:p>
      <w:r>
        <w:t xml:space="preserve">*   </w:t>
      </w:r>
      <w:r>
        <w:rPr>
          <w:b/>
        </w:rPr>
        <w:t>New Biomarkers (Early Detection):</w:t>
      </w:r>
      <w:r>
        <w:t xml:space="preserve"> NGAL (2–4 hours post-injury), KIM-1 (proximal tubular injury), and IL-18.</w:t>
      </w:r>
    </w:p>
    <w:p>
      <w:r>
        <w:t>---</w:t>
      </w:r>
    </w:p>
    <w:p>
      <w:pPr>
        <w:pStyle w:val="Heading2"/>
      </w:pPr>
      <w:r>
        <w:t>**3. Hematuria: Glomerular vs. Non-Glomerular**</w:t>
      </w:r>
    </w:p>
    <w:p>
      <w:r>
        <w:t>A common AMC pitfall is over-relying on epidemiological risk factors (e.g., smoking, age &gt;40) over objective urinalysis findings.</w:t>
      </w:r>
    </w:p>
    <w:p>
      <w:pPr>
        <w:pStyle w:val="Heading3"/>
      </w:pPr>
      <w:r>
        <w:t>**The "Golden Rule" of Urinalysis**</w:t>
      </w:r>
    </w:p>
    <w:p>
      <w:r/>
      <w:r>
        <w:rPr>
          <w:b/>
        </w:rPr>
        <w:t>Proteinuria + Hematuria = Glomerular Pathology.</w:t>
      </w:r>
      <w:r/>
    </w:p>
    <w:p>
      <w:r>
        <w:t xml:space="preserve">*   </w:t>
      </w:r>
      <w:r>
        <w:rPr>
          <w:b/>
        </w:rPr>
        <w:t>Glomerular Origin (e.g., GN):</w:t>
      </w:r>
      <w:r/>
    </w:p>
    <w:p>
      <w:r>
        <w:t xml:space="preserve">*   </w:t>
      </w:r>
      <w:r>
        <w:rPr>
          <w:b/>
        </w:rPr>
        <w:t>Microscopy:</w:t>
      </w:r>
      <w:r>
        <w:t xml:space="preserve"> Dysmorphic RBCs and </w:t>
      </w:r>
      <w:r>
        <w:rPr>
          <w:b/>
        </w:rPr>
        <w:t>Red Blood Cell Casts</w:t>
      </w:r>
      <w:r>
        <w:t xml:space="preserve"> (pathognomonic).</w:t>
      </w:r>
    </w:p>
    <w:p>
      <w:r>
        <w:t xml:space="preserve">*   </w:t>
      </w:r>
      <w:r>
        <w:rPr>
          <w:b/>
        </w:rPr>
        <w:t>Dipstick:</w:t>
      </w:r>
      <w:r>
        <w:t xml:space="preserve"> Significant Proteinuria (usually &gt;1+).</w:t>
      </w:r>
    </w:p>
    <w:p>
      <w:r>
        <w:t xml:space="preserve">*   </w:t>
      </w:r>
      <w:r>
        <w:rPr>
          <w:b/>
        </w:rPr>
        <w:t>Appearance:</w:t>
      </w:r>
      <w:r>
        <w:t xml:space="preserve"> Often described as "cola-colored" or "smoky."</w:t>
      </w:r>
    </w:p>
    <w:p>
      <w:r>
        <w:t xml:space="preserve">*   </w:t>
      </w:r>
      <w:r>
        <w:rPr>
          <w:b/>
        </w:rPr>
        <w:t>Non-Glomerular/Urological Origin (e.g., RCC, Stones, Infection):</w:t>
      </w:r>
      <w:r/>
    </w:p>
    <w:p>
      <w:r>
        <w:t xml:space="preserve">*   </w:t>
      </w:r>
      <w:r>
        <w:rPr>
          <w:b/>
        </w:rPr>
        <w:t>Microscopy:</w:t>
      </w:r>
      <w:r>
        <w:t xml:space="preserve"> Monomorphic (normal shape) RBCs; no casts.</w:t>
      </w:r>
    </w:p>
    <w:p>
      <w:r>
        <w:t xml:space="preserve">*   </w:t>
      </w:r>
      <w:r>
        <w:rPr>
          <w:b/>
        </w:rPr>
        <w:t>Dipstick:</w:t>
      </w:r>
      <w:r>
        <w:t xml:space="preserve"> Hematuria without significant proteinuria.</w:t>
      </w:r>
    </w:p>
    <w:p>
      <w:r>
        <w:t xml:space="preserve">*   </w:t>
      </w:r>
      <w:r>
        <w:rPr>
          <w:b/>
        </w:rPr>
        <w:t>Clinical Pearl:</w:t>
      </w:r>
      <w:r>
        <w:t xml:space="preserve"> While an older smoker with painless hematuria is suspicious for Renal Cell Carcinoma (RCC), the presence of RBC casts and proteinuria shifts the diagnosis definitively toward a glomerular cause (GN).</w:t>
      </w:r>
    </w:p>
    <w:p>
      <w:r>
        <w:t>---</w:t>
      </w:r>
    </w:p>
    <w:p>
      <w:pPr>
        <w:pStyle w:val="Heading2"/>
      </w:pPr>
      <w:r>
        <w:t>**4. Chronic Kidney Disease (CKD) Management**</w:t>
      </w:r>
    </w:p>
    <w:p>
      <w:r>
        <w:t>Examination focus remains on identification, staging, and primary care management.</w:t>
      </w:r>
    </w:p>
    <w:p>
      <w:pPr>
        <w:pStyle w:val="Heading3"/>
      </w:pPr>
      <w:r>
        <w:t>**High-Yield Management Points**</w:t>
      </w:r>
    </w:p>
    <w:p>
      <w:r>
        <w:t xml:space="preserve">*   </w:t>
      </w:r>
      <w:r>
        <w:rPr>
          <w:b/>
        </w:rPr>
        <w:t>Staging:</w:t>
      </w:r>
      <w:r>
        <w:t xml:space="preserve"> Based on the </w:t>
      </w:r>
      <w:r>
        <w:rPr>
          <w:b/>
        </w:rPr>
        <w:t>KDIGO classification</w:t>
      </w:r>
      <w:r>
        <w:t xml:space="preserve"> using eGFR and Albuminuria (ACR).</w:t>
      </w:r>
    </w:p>
    <w:p>
      <w:r>
        <w:t xml:space="preserve">*   </w:t>
      </w:r>
      <w:r>
        <w:rPr>
          <w:b/>
        </w:rPr>
        <w:t>Referral Criteria:</w:t>
      </w:r>
      <w:r>
        <w:t xml:space="preserve"> Know the indications for nephrology referral (e.g., eGFR &lt;30, rapid decline in eGFR, persistent significant albuminuria, or resistant hypertension).</w:t>
      </w:r>
    </w:p>
    <w:p>
      <w:r>
        <w:t xml:space="preserve">*   </w:t>
      </w:r>
      <w:r>
        <w:rPr>
          <w:b/>
        </w:rPr>
        <w:t>Safety:</w:t>
      </w:r>
      <w:r>
        <w:t xml:space="preserve"> Avoid NSAIDs; ensure dose adjustment for renally excreted medications.</w:t>
      </w:r>
    </w:p>
    <w:p>
      <w:r>
        <w:t xml:space="preserve">*   </w:t>
      </w:r>
      <w:r>
        <w:rPr>
          <w:b/>
        </w:rPr>
        <w:t>Co-morbidities:</w:t>
      </w:r>
      <w:r>
        <w:t xml:space="preserve"> Integrated management of blood pressure (target often &lt;130/80 in albuminuric CKD) and glycemic control (SGLT2 inhibitors are now high-yield for renal protection).</w:t>
      </w:r>
    </w:p>
    <w:p>
      <w:r>
        <w:t>---</w:t>
      </w:r>
    </w:p>
    <w:p>
      <w:pPr>
        <w:pStyle w:val="Heading2"/>
      </w:pPr>
      <w:r>
        <w:t>**5. Minimal Change Disease (MCD) vs. FSGS**</w:t>
      </w:r>
    </w:p>
    <w:p>
      <w:r>
        <w:t>Differentiating between these two causes of nephrotic syndrome is based on pathophysiology and prognosis.</w:t>
      </w:r>
    </w:p>
    <w:p>
      <w:r>
        <w:t xml:space="preserve">*   </w:t>
      </w:r>
      <w:r>
        <w:rPr>
          <w:b/>
        </w:rPr>
        <w:t>Minimal Change Disease (MCD):</w:t>
      </w:r>
      <w:r/>
    </w:p>
    <w:p>
      <w:r>
        <w:t xml:space="preserve">*   </w:t>
      </w:r>
      <w:r>
        <w:rPr>
          <w:b/>
        </w:rPr>
        <w:t>Mechanism:</w:t>
      </w:r>
      <w:r>
        <w:t xml:space="preserve"> Reversible podocyte dysfunction (effacement).</w:t>
      </w:r>
    </w:p>
    <w:p>
      <w:r>
        <w:t xml:space="preserve">*   </w:t>
      </w:r>
      <w:r>
        <w:rPr>
          <w:b/>
        </w:rPr>
        <w:t>Findings:</w:t>
      </w:r>
      <w:r>
        <w:t xml:space="preserve"> </w:t>
      </w:r>
      <w:r>
        <w:rPr>
          <w:b/>
        </w:rPr>
        <w:t>Selective proteinuria</w:t>
      </w:r>
      <w:r>
        <w:t xml:space="preserve"> (primarily albumin).</w:t>
      </w:r>
    </w:p>
    <w:p>
      <w:r>
        <w:t xml:space="preserve">*   </w:t>
      </w:r>
      <w:r>
        <w:rPr>
          <w:b/>
        </w:rPr>
        <w:t>Prognosis:</w:t>
      </w:r>
      <w:r>
        <w:t xml:space="preserve"> Excellent; highly responsive to corticosteroids.</w:t>
      </w:r>
    </w:p>
    <w:p>
      <w:r>
        <w:t xml:space="preserve">*   </w:t>
      </w:r>
      <w:r>
        <w:rPr>
          <w:b/>
        </w:rPr>
        <w:t>Focal Segmental Glomerulosclerosis (FSGS):</w:t>
      </w:r>
      <w:r/>
    </w:p>
    <w:p>
      <w:r>
        <w:t xml:space="preserve">*   </w:t>
      </w:r>
      <w:r>
        <w:rPr>
          <w:b/>
        </w:rPr>
        <w:t>Mechanism:</w:t>
      </w:r>
      <w:r>
        <w:t xml:space="preserve"> Podocyte </w:t>
      </w:r>
      <w:r>
        <w:rPr>
          <w:b/>
        </w:rPr>
        <w:t>loss</w:t>
      </w:r>
      <w:r>
        <w:t xml:space="preserve"> leading to permanent scarring.</w:t>
      </w:r>
    </w:p>
    <w:p>
      <w:r>
        <w:t xml:space="preserve">*   </w:t>
      </w:r>
      <w:r>
        <w:rPr>
          <w:b/>
        </w:rPr>
        <w:t>Findings:</w:t>
      </w:r>
      <w:r>
        <w:t xml:space="preserve"> </w:t>
      </w:r>
      <w:r>
        <w:rPr>
          <w:b/>
        </w:rPr>
        <w:t>Non-selective proteinuria</w:t>
      </w:r>
      <w:r>
        <w:t xml:space="preserve"> (albumin + globulins).</w:t>
      </w:r>
    </w:p>
    <w:p>
      <w:r>
        <w:t xml:space="preserve">*   </w:t>
      </w:r>
      <w:r>
        <w:rPr>
          <w:b/>
        </w:rPr>
        <w:t>Prognosis:</w:t>
      </w:r>
      <w:r>
        <w:t xml:space="preserve"> Poor; often steroid-resistant and progresses to CKD.</w:t>
      </w:r>
    </w:p>
    <w:p>
      <w:pPr>
        <w:pStyle w:val="Heading1"/>
      </w:pPr>
      <w:r>
        <w:t>Neurology</w:t>
      </w:r>
    </w:p>
    <w:p>
      <w:r>
        <w:t>- Title: TIA in Young Patient Post Trauma - Key Consideration</w:t>
      </w:r>
    </w:p>
    <w:p>
      <w:r>
        <w:t>Content: The question 'Tia in young patient post trauma?' highlights an important clinical scenario. In a young patient presenting with transient neurological symptoms following trauma, the differential diagnosis expands beyond typical atherosclerotic causes of TIA. Key considerations include:</w:t>
      </w:r>
    </w:p>
    <w:p>
      <w:r>
        <w:t xml:space="preserve">1. </w:t>
      </w:r>
      <w:r>
        <w:rPr>
          <w:b/>
        </w:rPr>
        <w:t>Cervical Artery Dissection</w:t>
      </w:r>
      <w:r>
        <w:t>: Trauma (even minor) can cause dissection of the carotid or vertebral arteries, leading to thromboembolic events. This is a common cause of stroke in young adults.</w:t>
      </w:r>
    </w:p>
    <w:p>
      <w:r>
        <w:t xml:space="preserve">2. </w:t>
      </w:r>
      <w:r>
        <w:rPr>
          <w:b/>
        </w:rPr>
        <w:t>Cardioembolic Sources</w:t>
      </w:r>
      <w:r>
        <w:t>: Trauma may unmask underlying cardiac conditions like patent foramen ovale (PFO) or atrial septal defect, with paradoxical embolism.</w:t>
      </w:r>
    </w:p>
    <w:p>
      <w:r>
        <w:t xml:space="preserve">3. </w:t>
      </w:r>
      <w:r>
        <w:rPr>
          <w:b/>
        </w:rPr>
        <w:t>Post-traumatic Vasospasm</w:t>
      </w:r>
      <w:r>
        <w:t>: Direct vascular injury or sympathetic stimulation can cause reversible vasoconstriction.</w:t>
      </w:r>
    </w:p>
    <w:p>
      <w:r>
        <w:t xml:space="preserve">4. </w:t>
      </w:r>
      <w:r>
        <w:rPr>
          <w:b/>
        </w:rPr>
        <w:t>Hypercoagulable States</w:t>
      </w:r>
      <w:r>
        <w:t>: Underlying thrombophilia may be precipitated by trauma.</w:t>
      </w:r>
    </w:p>
    <w:p>
      <w:r/>
      <w:r>
        <w:rPr>
          <w:b/>
        </w:rPr>
        <w:t>Immediate Workup</w:t>
      </w:r>
      <w:r>
        <w:t>: Urgent neuroimaging (MRI brain with DWI), vascular imaging (CTA/MRA neck and head), echocardiography (with bubble study if indicated), and hypercoagulability screening in selected cases.</w:t>
      </w:r>
    </w:p>
    <w:p>
      <w:r/>
      <w:r>
        <w:rPr>
          <w:b/>
        </w:rPr>
        <w:t>Management</w:t>
      </w:r>
      <w:r>
        <w:t>: Depends on identified cause. For cervical artery dissection, antithrombotic therapy (antiplatelets or anticoagulation) is typically indicated. Secondary prevention addresses underlying risk factors.</w:t>
      </w:r>
    </w:p>
    <w:p>
      <w:r>
        <w:t>- Title: Request for Neurology and Orthopaedics Study Materials</w:t>
      </w:r>
    </w:p>
    <w:p>
      <w:r>
        <w:t>Content: A user requests compiled theory files for Neurology and Orthopaedics portions of the AMC exam. This reflects the need for consolidated resources in these high-volume, detail-oriented specialties. Key neuro topics include stroke, seizures, headache, MS, Parkinson's, and cranial nerves. Key ortho topics include fractures (principles and specific types), back pain, osteoarthritis, rheumatological conditions, and paediatric orthopaedics (e.g., DDH, Perthes).</w:t>
      </w:r>
    </w:p>
    <w:p>
      <w:r>
        <w:t>- Title: Multiple Sclerosis (MS) - High-Yield Point</w:t>
      </w:r>
    </w:p>
    <w:p>
      <w:r>
        <w:t>Content: Multiple Sclerosis (MS) is a chronic autoimmune, demyelinating disease of the central nervous system. Key AMC exam points:</w:t>
      </w:r>
    </w:p>
    <w:p>
      <w:r>
        <w:t xml:space="preserve">- </w:t>
      </w:r>
      <w:r>
        <w:rPr>
          <w:b/>
        </w:rPr>
        <w:t>Typical Presentation:</w:t>
      </w:r>
      <w:r>
        <w:t xml:space="preserve"> Relapsing-remitting neurological deficits (e.g., optic neuritis, internuclear ophthalmoplegia, sensory changes, limb weakness) separated in time and space.</w:t>
      </w:r>
    </w:p>
    <w:p>
      <w:r>
        <w:t xml:space="preserve">- </w:t>
      </w:r>
      <w:r>
        <w:rPr>
          <w:b/>
        </w:rPr>
        <w:t>Diagnosis:</w:t>
      </w:r>
      <w:r>
        <w:t xml:space="preserve"> Primarily clinical, supported by MRI showing periventricular white matter lesions (Dawson's fingers) and CSF analysis showing oligoclonal bands.</w:t>
      </w:r>
    </w:p>
    <w:p>
      <w:r>
        <w:t xml:space="preserve">- </w:t>
      </w:r>
      <w:r>
        <w:rPr>
          <w:b/>
        </w:rPr>
        <w:t>Management:</w:t>
      </w:r>
      <w:r>
        <w:t xml:space="preserve"> Acute relapses are treated with high-dose corticosteroids. Disease-modifying therapies (e.g., interferon-beta, natalizumab) are used to reduce relapse frequency.</w:t>
      </w:r>
    </w:p>
    <w:p>
      <w:r>
        <w:t>- Title: Migraine - Diagnostic Criteria (AMC Focus)</w:t>
      </w:r>
    </w:p>
    <w:p>
      <w:r>
        <w:t xml:space="preserve">Content: Migraine is a common primary headache disorder. For the AMC, know the simplified diagnostic criteria for </w:t>
      </w:r>
      <w:r>
        <w:rPr>
          <w:b/>
        </w:rPr>
        <w:t>Migraine without Aura</w:t>
      </w:r>
      <w:r>
        <w:t>:</w:t>
      </w:r>
    </w:p>
    <w:p>
      <w:r>
        <w:t xml:space="preserve">- </w:t>
      </w:r>
      <w:r>
        <w:rPr>
          <w:b/>
        </w:rPr>
        <w:t>A.</w:t>
      </w:r>
      <w:r>
        <w:t xml:space="preserve"> At least 5 attacks fulfilling criteria B-D.</w:t>
      </w:r>
    </w:p>
    <w:p>
      <w:r>
        <w:t xml:space="preserve">- </w:t>
      </w:r>
      <w:r>
        <w:rPr>
          <w:b/>
        </w:rPr>
        <w:t>B.</w:t>
      </w:r>
      <w:r>
        <w:t xml:space="preserve"> Headache attacks lasting 4-72 hours (untreated or unsuccessfully treated).</w:t>
      </w:r>
    </w:p>
    <w:p>
      <w:r>
        <w:t xml:space="preserve">- </w:t>
      </w:r>
      <w:r>
        <w:rPr>
          <w:b/>
        </w:rPr>
        <w:t>C.</w:t>
      </w:r>
      <w:r>
        <w:t xml:space="preserve"> Headache has at least TWO of: (1) Unilateral location, (2) Pulsating quality, (3) Moderate or severe pain intensity, (4) Aggravation by or causing avoidance of routine physical activity.</w:t>
      </w:r>
    </w:p>
    <w:p>
      <w:r>
        <w:t xml:space="preserve">- </w:t>
      </w:r>
      <w:r>
        <w:rPr>
          <w:b/>
        </w:rPr>
        <w:t>D.</w:t>
      </w:r>
      <w:r>
        <w:t xml:space="preserve"> During headache at least ONE of: (1) Nausea and/or vomiting, (2) Photophobia and phonophobia.</w:t>
      </w:r>
    </w:p>
    <w:p>
      <w:r>
        <w:t xml:space="preserve">- </w:t>
      </w:r>
      <w:r>
        <w:rPr>
          <w:b/>
        </w:rPr>
        <w:t>Acute Treatment:</w:t>
      </w:r>
      <w:r>
        <w:t xml:space="preserve"> Simple analgesics (paracetamol/NSAIDs) + antiemetic. Triptans for moderate-severe attacks.</w:t>
      </w:r>
    </w:p>
    <w:p>
      <w:r>
        <w:t xml:space="preserve">- </w:t>
      </w:r>
      <w:r>
        <w:rPr>
          <w:b/>
        </w:rPr>
        <w:t>Prophylaxis:</w:t>
      </w:r>
      <w:r>
        <w:t xml:space="preserve"> Consider if &gt;2 debilitating attacks/month (e.g., propranolol, topiramate, amitriptyline).</w:t>
      </w:r>
    </w:p>
    <w:p>
      <w:r>
        <w:t>- Title: Optic neuritis in multiple sclerosis</w:t>
      </w:r>
    </w:p>
    <w:p>
      <w:r>
        <w:t>Content: Optic neuritis is a common presenting feature of multiple sclerosis (MS), characterised by acute/subacute unilateral visual loss, pain on eye movement, and relative afferent pupillary defect. It is often the first demyelinating event. Diagnosis is clinical supported by MRI brain/orbits. Management includes high-dose corticosteroids to speed recovery. MS is a chronic autoimmune demyelinating disease of the CNS, and optic neuritis is a classic red flag.</w:t>
      </w:r>
    </w:p>
    <w:p>
      <w:r>
        <w:t>- Title: JAMA Resource on Headache or Neurological Diagnosis</w:t>
      </w:r>
    </w:p>
    <w:p>
      <w:r>
        <w:t>Content: A link to a JAMA article (https://jamanetwork.com/journals/jama/fullarticle/1752245) was shared. JAMA articles are peer-reviewed and provide high-quality, evidence-based clinical reviews. This specific link could be a review article on headache diagnosis, idiopathic intracranial hypertension, or neuroimaging guidelines, which would be highly relevant for AMC exam preparation on neurological presentations.</w:t>
      </w:r>
    </w:p>
    <w:p>
      <w:r>
        <w:t>- Title: Request for Stroke/TIA Management Guidelines</w:t>
      </w:r>
    </w:p>
    <w:p>
      <w:r>
        <w:t>Content: A user is requesting a summary or link to the management of stroke or Transient Ischemic Attack (TIA) according to the Royal Australian College of General Practitioners (RACGP) or Therapeutic Guidelines (TG). This is a high-yield topic for the AMC exam.</w:t>
      </w:r>
    </w:p>
    <w:p>
      <w:r/>
      <w:r>
        <w:rPr>
          <w:b/>
        </w:rPr>
        <w:t>Key Australian Guideline References for Stroke/TIA Management:</w:t>
      </w:r>
      <w:r/>
    </w:p>
    <w:p>
      <w:r>
        <w:t xml:space="preserve">1.  </w:t>
      </w:r>
      <w:r>
        <w:rPr>
          <w:b/>
        </w:rPr>
        <w:t>National Stroke Foundation (Stroke Foundation) - Clinical Guidelines for Stroke Management</w:t>
      </w:r>
      <w:r>
        <w:t>: The primary Australian guideline. It covers acute management, secondary prevention, and rehabilitation.</w:t>
      </w:r>
    </w:p>
    <w:p>
      <w:r>
        <w:t xml:space="preserve">2.  </w:t>
      </w:r>
      <w:r>
        <w:rPr>
          <w:b/>
        </w:rPr>
        <w:t>Therapeutic Guidelines (eTG) - Neurology: Cerebrovascular disease</w:t>
      </w:r>
      <w:r>
        <w:t>: Provides concise, evidence-based recommendations for investigation and management of TIA and stroke, including antiplatelet therapy, anticoagulation, and risk factor management.</w:t>
      </w:r>
    </w:p>
    <w:p>
      <w:r>
        <w:t xml:space="preserve">3.  </w:t>
      </w:r>
      <w:r>
        <w:rPr>
          <w:b/>
        </w:rPr>
        <w:t>RACGP - Guidelines for preventive activities in general practice (Red Book)</w:t>
      </w:r>
      <w:r>
        <w:t>: Includes sections on cardiovascular risk assessment and management, which is integral to stroke prevention.</w:t>
      </w:r>
    </w:p>
    <w:p>
      <w:r/>
      <w:r>
        <w:rPr>
          <w:b/>
        </w:rPr>
        <w:t>Core Management Principles (for AMC):</w:t>
      </w:r>
      <w:r/>
    </w:p>
    <w:p>
      <w:r>
        <w:t xml:space="preserve">*   </w:t>
      </w:r>
      <w:r>
        <w:rPr>
          <w:b/>
        </w:rPr>
        <w:t>TIA/ Minor Stroke (ABCD2 score ≥4 or high-risk features)</w:t>
      </w:r>
      <w:r>
        <w:t>: Urgent specialist assessment (within 24 hours), brain imaging (CT/MRI), and immediate start of secondary prevention (e.g., dual antiplatelet therapy with aspirin + clopidogrel for 21-30 days for non-cardioembolic events, then single agent).</w:t>
      </w:r>
    </w:p>
    <w:p>
      <w:r>
        <w:t xml:space="preserve">*   </w:t>
      </w:r>
      <w:r>
        <w:rPr>
          <w:b/>
        </w:rPr>
        <w:t>Acute Ischaemic Stroke</w:t>
      </w:r>
      <w:r>
        <w:t>: 'Time is brain'. Assess for thrombolysis (alteplase within 4.5 hours) and/or endovascular thrombectomy (within 6-24 hours depending on criteria) in eligible patients.</w:t>
      </w:r>
    </w:p>
    <w:p>
      <w:r>
        <w:t xml:space="preserve">*   </w:t>
      </w:r>
      <w:r>
        <w:rPr>
          <w:b/>
        </w:rPr>
        <w:t>Secondary Prevention</w:t>
      </w:r>
      <w:r>
        <w:t>: Address modifiable risk factors (hypertension, diabetes, lipids, smoking). Antiplatelet therapy for non-cardioembolic stroke; anticoagulation (e.g., DOAC) for cardioembolic stroke (e.g., atrial fibrillation). Consider carotid revascularisation for symptomatic carotid stenosis.</w:t>
      </w:r>
    </w:p>
    <w:p>
      <w:r>
        <w:t xml:space="preserve">*   </w:t>
      </w:r>
      <w:r>
        <w:rPr>
          <w:b/>
        </w:rPr>
        <w:t>Haemorrhagic Stroke</w:t>
      </w:r>
      <w:r>
        <w:t>: Acute management focuses on blood pressure control, reversal of anticoagulants if present, and neurosurgical consultation for possible evacuation.</w:t>
      </w:r>
    </w:p>
    <w:p>
      <w:r>
        <w:t>- Title: Central Retinal Artery Occlusion (CRAO) Management</w:t>
      </w:r>
    </w:p>
    <w:p>
      <w:r>
        <w:t>Content: This message requests information on the treatment of Central Retinal Artery Occlusion (CRAO) from a lecture. CRAO is an ophthalmological emergency presenting as sudden, painless, monocular vision loss, often described as a 'curtain coming down'. It is analogous to a stroke of the eye, with the most common cause being embolism (e.g., from carotid artery disease or cardiac sources).</w:t>
      </w:r>
    </w:p>
    <w:p>
      <w:r/>
      <w:r>
        <w:rPr>
          <w:b/>
        </w:rPr>
        <w:t>Key Management Principles (based on current guidelines):</w:t>
      </w:r>
      <w:r/>
    </w:p>
    <w:p>
      <w:r>
        <w:t xml:space="preserve">1.  </w:t>
      </w:r>
      <w:r>
        <w:rPr>
          <w:b/>
        </w:rPr>
        <w:t>Urgent Referral:</w:t>
      </w:r>
      <w:r>
        <w:t xml:space="preserve"> Immediate referral to an ophthalmologist and/or stroke/ED service is critical. Time is vision.</w:t>
      </w:r>
    </w:p>
    <w:p>
      <w:r>
        <w:t xml:space="preserve">2.  </w:t>
      </w:r>
      <w:r>
        <w:rPr>
          <w:b/>
        </w:rPr>
        <w:t>Systemic Evaluation:</w:t>
      </w:r>
      <w:r>
        <w:t xml:space="preserve"> Focus on identifying the embolic source to prevent further strokes (cerebral, cardiac). This includes:</w:t>
      </w:r>
    </w:p>
    <w:p>
      <w:r>
        <w:t>*   Carotid Doppler ultrasound.</w:t>
      </w:r>
    </w:p>
    <w:p>
      <w:r>
        <w:t>*   Echocardiography (transthoracic or transesophageal).</w:t>
      </w:r>
    </w:p>
    <w:p>
      <w:r>
        <w:t>*   ECG and cardiac monitoring for atrial fibrillation.</w:t>
      </w:r>
    </w:p>
    <w:p>
      <w:r>
        <w:t>*   Vascular risk factor assessment (hypertension, diabetes, hyperlipidaemia).</w:t>
      </w:r>
    </w:p>
    <w:p>
      <w:r>
        <w:t xml:space="preserve">3.  </w:t>
      </w:r>
      <w:r>
        <w:rPr>
          <w:b/>
        </w:rPr>
        <w:t>Ocular Treatments (Time-Sensitive):</w:t>
      </w:r>
      <w:r>
        <w:t xml:space="preserve"> These aim to dislodge the embolus or improve retinal perfusion, though evidence for efficacy is limited and they must be performed urgently.</w:t>
      </w:r>
    </w:p>
    <w:p>
      <w:r>
        <w:t xml:space="preserve">*   </w:t>
      </w:r>
      <w:r>
        <w:rPr>
          <w:b/>
        </w:rPr>
        <w:t>Ocular massage:</w:t>
      </w:r>
      <w:r>
        <w:t xml:space="preserve"> To mechanically dislodge the clot.</w:t>
      </w:r>
    </w:p>
    <w:p>
      <w:r>
        <w:t xml:space="preserve">*   </w:t>
      </w:r>
      <w:r>
        <w:rPr>
          <w:b/>
        </w:rPr>
        <w:t>Anterior chamber paracentesis:</w:t>
      </w:r>
      <w:r>
        <w:t xml:space="preserve"> To lower intraocular pressure and potentially improve perfusion.</w:t>
      </w:r>
    </w:p>
    <w:p>
      <w:r>
        <w:t xml:space="preserve">*   </w:t>
      </w:r>
      <w:r>
        <w:rPr>
          <w:b/>
        </w:rPr>
        <w:t>Intraocular pressure-lowering medications</w:t>
      </w:r>
      <w:r>
        <w:t xml:space="preserve"> (e.g., topical timolol, acetazolamide).</w:t>
      </w:r>
    </w:p>
    <w:p>
      <w:r>
        <w:t xml:space="preserve">*   </w:t>
      </w:r>
      <w:r>
        <w:rPr>
          <w:b/>
        </w:rPr>
        <w:t>Rebreathing into a paper bag</w:t>
      </w:r>
      <w:r>
        <w:t xml:space="preserve"> to increase blood CO2 and induce vasodilation.</w:t>
      </w:r>
    </w:p>
    <w:p>
      <w:r>
        <w:t xml:space="preserve">4.  </w:t>
      </w:r>
      <w:r>
        <w:rPr>
          <w:b/>
        </w:rPr>
        <w:t>Thrombolysis:</w:t>
      </w:r>
      <w:r>
        <w:t xml:space="preserve"> The role of intra-arterial or intravenous thrombolysis is controversial, not standard, and is the subject of ongoing research. It is not routinely recommended outside of clinical trials due to significant risk (e.g., intracranial haemorrhage).</w:t>
      </w:r>
    </w:p>
    <w:p>
      <w:r/>
      <w:r>
        <w:rPr>
          <w:b/>
        </w:rPr>
        <w:t>Primary goal is to treat the patient as a 'stroke patient' to prevent a subsequent cerebral infarction.</w:t>
      </w:r>
      <w:r/>
    </w:p>
    <w:p>
      <w:r>
        <w:t>- Title: Clinical Image Diagnosis Tip: Progressive Supranuclear Palsy (PSP)</w:t>
      </w:r>
    </w:p>
    <w:p>
      <w:r>
        <w:t>Content: Based on the community response ('Most probably PSP'), this image likely depicts features of Progressive Supranuclear Palsy (PSP), a Parkinson-plus syndrome. Key exam findings for AMC recall may include:</w:t>
      </w:r>
    </w:p>
    <w:p>
      <w:r>
        <w:t xml:space="preserve">- </w:t>
      </w:r>
      <w:r>
        <w:rPr>
          <w:b/>
        </w:rPr>
        <w:t>Supranuclear vertical gaze palsy</w:t>
      </w:r>
      <w:r>
        <w:t xml:space="preserve"> (characteristic - difficulty looking down voluntarily, but preserved with oculocephalic maneuver).</w:t>
      </w:r>
    </w:p>
    <w:p>
      <w:r>
        <w:t>- Axial rigidity &gt; limb rigidity.</w:t>
      </w:r>
    </w:p>
    <w:p>
      <w:r>
        <w:t>- Early postural instability and falls (often backwards).</w:t>
      </w:r>
    </w:p>
    <w:p>
      <w:r>
        <w:t>- Pseudobulbar affect (emotional lability).</w:t>
      </w:r>
    </w:p>
    <w:p>
      <w:r>
        <w:t>- Minimal tremor compared to Parkinson's disease.</w:t>
      </w:r>
    </w:p>
    <w:p>
      <w:r/>
      <w:r>
        <w:rPr>
          <w:b/>
        </w:rPr>
        <w:t>Differential:</w:t>
      </w:r>
      <w:r>
        <w:t xml:space="preserve"> Parkinson's disease, Multiple System Atrophy, Corticobasal degeneration.</w:t>
      </w:r>
    </w:p>
    <w:p>
      <w:r/>
      <w:r>
        <w:rPr>
          <w:b/>
        </w:rPr>
        <w:t>Management:</w:t>
      </w:r>
      <w:r>
        <w:t xml:space="preserve"> Supportive; poor response to levodopa.</w:t>
      </w:r>
    </w:p>
    <w:p>
      <w:r>
        <w:t>- Title: Progressive Supranuclear Palsy - Key Features</w:t>
      </w:r>
    </w:p>
    <w:p>
      <w:r>
        <w:t xml:space="preserve">Content: </w:t>
      </w:r>
      <w:r>
        <w:rPr>
          <w:b/>
        </w:rPr>
        <w:t>Progressive Supranuclear Palsy (PSP) - High-Yield AMC Points</w:t>
      </w:r>
      <w:r/>
    </w:p>
    <w:p>
      <w:r/>
      <w:r>
        <w:rPr>
          <w:b/>
        </w:rPr>
        <w:t>Core Clinical Features (Remember: SAVE):</w:t>
      </w:r>
      <w:r/>
    </w:p>
    <w:p>
      <w:r>
        <w:t xml:space="preserve">- </w:t>
      </w:r>
      <w:r>
        <w:rPr>
          <w:b/>
        </w:rPr>
        <w:t>S</w:t>
      </w:r>
      <w:r>
        <w:t>upranuclear vertical gaze palsy (especially downward gaze)</w:t>
      </w:r>
    </w:p>
    <w:p>
      <w:r>
        <w:t xml:space="preserve">- </w:t>
      </w:r>
      <w:r>
        <w:rPr>
          <w:b/>
        </w:rPr>
        <w:t>A</w:t>
      </w:r>
      <w:r>
        <w:t>xial rigidity (more than limb rigidity)</w:t>
      </w:r>
    </w:p>
    <w:p>
      <w:r>
        <w:t xml:space="preserve">- </w:t>
      </w:r>
      <w:r>
        <w:rPr>
          <w:b/>
        </w:rPr>
        <w:t>V</w:t>
      </w:r>
      <w:r>
        <w:t>ertical gaze palsy (hallmark feature)</w:t>
      </w:r>
    </w:p>
    <w:p>
      <w:r>
        <w:t xml:space="preserve">- </w:t>
      </w:r>
      <w:r>
        <w:rPr>
          <w:b/>
        </w:rPr>
        <w:t>E</w:t>
      </w:r>
      <w:r>
        <w:t>arly falls (typically backward within first year)</w:t>
      </w:r>
    </w:p>
    <w:p>
      <w:r/>
      <w:r>
        <w:rPr>
          <w:b/>
        </w:rPr>
        <w:t>Additional Features:</w:t>
      </w:r>
      <w:r/>
    </w:p>
    <w:p>
      <w:r>
        <w:t>- Pseudobulbar affect (emotional incontinence)</w:t>
      </w:r>
    </w:p>
    <w:p>
      <w:r>
        <w:t>- Executive dysfunction and apathy</w:t>
      </w:r>
    </w:p>
    <w:p>
      <w:r>
        <w:t>- Square-wave jerks on fixation</w:t>
      </w:r>
    </w:p>
    <w:p>
      <w:r>
        <w:t>- Minimal response to levodopa</w:t>
      </w:r>
    </w:p>
    <w:p>
      <w:r>
        <w:t>- Dysarthria and dysphagia</w:t>
      </w:r>
    </w:p>
    <w:p>
      <w:r/>
      <w:r>
        <w:rPr>
          <w:b/>
        </w:rPr>
        <w:t>Differential Diagnosis:</w:t>
      </w:r>
      <w:r/>
    </w:p>
    <w:p>
      <w:r>
        <w:t xml:space="preserve">1. </w:t>
      </w:r>
      <w:r>
        <w:rPr>
          <w:b/>
        </w:rPr>
        <w:t>Parkinson's disease:</w:t>
      </w:r>
      <w:r>
        <w:t xml:space="preserve"> Asymmetric onset, resting tremor, good levodopa response</w:t>
      </w:r>
    </w:p>
    <w:p>
      <w:r>
        <w:t xml:space="preserve">2. </w:t>
      </w:r>
      <w:r>
        <w:rPr>
          <w:b/>
        </w:rPr>
        <w:t>Multiple system atrophy:</w:t>
      </w:r>
      <w:r>
        <w:t xml:space="preserve"> Autonomic failure prominent</w:t>
      </w:r>
    </w:p>
    <w:p>
      <w:r>
        <w:t xml:space="preserve">3. </w:t>
      </w:r>
      <w:r>
        <w:rPr>
          <w:b/>
        </w:rPr>
        <w:t>Corticobasal degeneration:</w:t>
      </w:r>
      <w:r>
        <w:t xml:space="preserve"> Asymmetric cortical signs, alien limb</w:t>
      </w:r>
    </w:p>
    <w:p>
      <w:r>
        <w:t xml:space="preserve">4. </w:t>
      </w:r>
      <w:r>
        <w:rPr>
          <w:b/>
        </w:rPr>
        <w:t>Dementia with Lewy bodies:</w:t>
      </w:r>
      <w:r>
        <w:t xml:space="preserve"> Fluctuating cognition, visual hallucinations</w:t>
      </w:r>
    </w:p>
    <w:p>
      <w:r/>
      <w:r>
        <w:rPr>
          <w:b/>
        </w:rPr>
        <w:t>Pathology:</w:t>
      </w:r>
      <w:r>
        <w:t xml:space="preserve"> Tauopathy (4-repeat tau) affecting basal ganglia, brainstem, cortex</w:t>
      </w:r>
    </w:p>
    <w:p>
      <w:r/>
      <w:r>
        <w:rPr>
          <w:b/>
        </w:rPr>
        <w:t>Management:</w:t>
      </w:r>
      <w:r/>
    </w:p>
    <w:p>
      <w:r>
        <w:t>- Supportive care (physiotherapy, speech therapy)</w:t>
      </w:r>
    </w:p>
    <w:p>
      <w:r>
        <w:t>- Levodopa trial (minimal benefit)</w:t>
      </w:r>
    </w:p>
    <w:p>
      <w:r>
        <w:t>- Botulinum toxin for blepharospasm</w:t>
      </w:r>
    </w:p>
    <w:p>
      <w:r>
        <w:t>- SSRIs for pseudobulbar affect</w:t>
      </w:r>
    </w:p>
    <w:p>
      <w:r/>
      <w:r>
        <w:rPr>
          <w:b/>
        </w:rPr>
        <w:t>AMC Exam Tip:</w:t>
      </w:r>
      <w:r>
        <w:t xml:space="preserve"> When you see "vertical gaze palsy" + "early falls" + "axial rigidity" = Think PSP immediately!</w:t>
      </w:r>
    </w:p>
    <w:p>
      <w:r>
        <w:t>- Title: Critical Rule: Antiplatelet Therapy After TIA</w:t>
      </w:r>
    </w:p>
    <w:p>
      <w:r>
        <w:t>Content: Do not give aspirin (or any antiplatelet/thrombolytic) until brain imaging (CT or MRI) excludes intracranial haemorrhage. This is a fundamental safety rule in acute stroke/TIA management. Starting antiplatelets before imaging in a patient with hemorrhagic stroke can worsen bleeding and increase mortality.</w:t>
      </w:r>
    </w:p>
    <w:p>
      <w:r>
        <w:t>- Title: Aspirin Dosing for TIA Secondary Prevention</w:t>
      </w:r>
    </w:p>
    <w:p>
      <w:r>
        <w:t>Content: For secondary prevention after TIA (once intracranial hemorrhage is excluded), the standard aspirin dose is 100 mg daily in Australia. The 300 mg dose is typically reserved for acute coronary syndromes (ACS) or loading doses in specific circumstances, not for routine TIA management.</w:t>
      </w:r>
    </w:p>
    <w:p>
      <w:r>
        <w:t>- Title: Causes of Chorea (Mnemonic: CHOREA)</w:t>
      </w:r>
    </w:p>
    <w:p>
      <w:r>
        <w:t>Content: Chorea refers to abnormal, involuntary, jerky, dance-like movements of the hands and feet.</w:t>
      </w:r>
    </w:p>
    <w:p>
      <w:r/>
      <w:r>
        <w:rPr>
          <w:b/>
        </w:rPr>
        <w:t>Causes (Mnemonic: CHOREA):</w:t>
      </w:r>
      <w:r/>
    </w:p>
    <w:p>
      <w:r>
        <w:t xml:space="preserve">*   </w:t>
      </w:r>
      <w:r>
        <w:rPr>
          <w:b/>
        </w:rPr>
        <w:t>C</w:t>
      </w:r>
      <w:r>
        <w:t xml:space="preserve"> &gt;&gt; Chorea gravidarum (during Pregnancy)</w:t>
      </w:r>
    </w:p>
    <w:p>
      <w:r>
        <w:t xml:space="preserve">*   </w:t>
      </w:r>
      <w:r>
        <w:rPr>
          <w:b/>
        </w:rPr>
        <w:t>H</w:t>
      </w:r>
      <w:r>
        <w:t xml:space="preserve"> &gt;&gt; Huntington Disease</w:t>
      </w:r>
    </w:p>
    <w:p>
      <w:r>
        <w:t xml:space="preserve">*   </w:t>
      </w:r>
      <w:r>
        <w:rPr>
          <w:b/>
        </w:rPr>
        <w:t>O</w:t>
      </w:r>
      <w:r>
        <w:t xml:space="preserve"> &gt;&gt; OCP (Oral Contraceptive Pill)</w:t>
      </w:r>
    </w:p>
    <w:p>
      <w:r>
        <w:t xml:space="preserve">*   </w:t>
      </w:r>
      <w:r>
        <w:rPr>
          <w:b/>
        </w:rPr>
        <w:t>R</w:t>
      </w:r>
      <w:r>
        <w:t xml:space="preserve"> &gt;&gt; Rheumatic Fever (Sydenham chorea)</w:t>
      </w:r>
    </w:p>
    <w:p>
      <w:r>
        <w:t xml:space="preserve">*   </w:t>
      </w:r>
      <w:r>
        <w:rPr>
          <w:b/>
        </w:rPr>
        <w:t>E</w:t>
      </w:r>
      <w:r>
        <w:t xml:space="preserve"> &gt;&gt; Endocrine (e.g., Thyrotoxicosis, Hyperglycaemia)</w:t>
      </w:r>
    </w:p>
    <w:p>
      <w:r>
        <w:t xml:space="preserve">*   </w:t>
      </w:r>
      <w:r>
        <w:rPr>
          <w:b/>
        </w:rPr>
        <w:t>A</w:t>
      </w:r>
      <w:r>
        <w:t xml:space="preserve"> &gt;&gt; Atherosclerosis (Vascular chorea)</w:t>
      </w:r>
    </w:p>
    <w:p>
      <w:r>
        <w:t>Autoimmune (e.g., SLE, Antiphospholipid syndrome)</w:t>
      </w:r>
    </w:p>
    <w:p>
      <w:r>
        <w:t>- Title: Isolated CN III Palsy: Key Differential and Investigation</w:t>
      </w:r>
    </w:p>
    <w:p>
      <w:r>
        <w:t xml:space="preserve">Content: </w:t>
      </w:r>
      <w:r>
        <w:rPr>
          <w:b/>
        </w:rPr>
        <w:t>Clinical Scenario:</w:t>
      </w:r>
      <w:r>
        <w:t xml:space="preserve"> A patient presents with an isolated, pupil-involving (external ophthalmoplegia with ptosis and a dilated, poorly reactive pupil) third cranial nerve (CN III) palsy.</w:t>
      </w:r>
    </w:p>
    <w:p>
      <w:r/>
      <w:r>
        <w:rPr>
          <w:b/>
        </w:rPr>
        <w:t>Probable Diagnosis:</w:t>
      </w:r>
      <w:r>
        <w:t xml:space="preserve"> A </w:t>
      </w:r>
      <w:r>
        <w:rPr>
          <w:b/>
        </w:rPr>
        <w:t>posterior communicating artery (PComA) aneurysm</w:t>
      </w:r>
      <w:r>
        <w:t xml:space="preserve"> compressing CN III is a critical and emergent diagnosis. The CN III runs adjacent to the PComA, making it vulnerable to compression from a berry aneurysm.</w:t>
      </w:r>
    </w:p>
    <w:p>
      <w:r/>
      <w:r>
        <w:rPr>
          <w:b/>
        </w:rPr>
        <w:t>Most Relevant Investigation:</w:t>
      </w:r>
      <w:r>
        <w:t xml:space="preserve"> </w:t>
      </w:r>
      <w:r>
        <w:rPr>
          <w:b/>
        </w:rPr>
        <w:t>Cerebral angiography</w:t>
      </w:r>
      <w:r>
        <w:t xml:space="preserve"> (either CT angiography or digital subtraction angiography) is the gold standard for detecting and characterizing intracranial aneurysms. Non-contrast CT head is the first step to rule out haemorrhage, but angiography is required to visualize the vasculature.</w:t>
      </w:r>
    </w:p>
    <w:p>
      <w:r/>
      <w:r>
        <w:rPr>
          <w:b/>
        </w:rPr>
        <w:t>Key Vessel Involved:</w:t>
      </w:r>
      <w:r>
        <w:t xml:space="preserve"> The </w:t>
      </w:r>
      <w:r>
        <w:rPr>
          <w:b/>
        </w:rPr>
        <w:t>Posterior Communicating Artery</w:t>
      </w:r>
      <w:r>
        <w:t xml:space="preserve"> is the classic vessel associated with a compressive CN III palsy. This is a high-yield fact for neuroanatomy and stroke/neurosurgery exams.</w:t>
      </w:r>
    </w:p>
    <w:p>
      <w:r/>
      <w:r>
        <w:rPr>
          <w:b/>
        </w:rPr>
        <w:t>Differential Diagnosis:</w:t>
      </w:r>
      <w:r>
        <w:t xml:space="preserve"> Other causes of CN III palsy include microvascular ischemia (typically pupil-sparing), trauma, tumour, meningitis, and cavernous sinus pathology.</w:t>
      </w:r>
    </w:p>
    <w:p>
      <w:r>
        <w:t>- Title: Subacute Combined Degeneration (SACD) Treatment</w:t>
      </w:r>
    </w:p>
    <w:p>
      <w:r>
        <w:t xml:space="preserve">Content: </w:t>
      </w:r>
      <w:r>
        <w:rPr>
          <w:b/>
        </w:rPr>
        <w:t>Subacute Combined Degeneration (SACD)</w:t>
      </w:r>
      <w:r>
        <w:t xml:space="preserve"> is a neurological complication of vitamin B12 deficiency affecting the dorsal and lateral columns of the spinal cord.</w:t>
      </w:r>
    </w:p>
    <w:p>
      <w:r/>
      <w:r>
        <w:rPr>
          <w:b/>
        </w:rPr>
        <w:t>Treatment:</w:t>
      </w:r>
      <w:r/>
    </w:p>
    <w:p>
      <w:r>
        <w:t xml:space="preserve">1. </w:t>
      </w:r>
      <w:r>
        <w:rPr>
          <w:b/>
        </w:rPr>
        <w:t>Vitamin B12 replacement</w:t>
      </w:r>
      <w:r>
        <w:t xml:space="preserve"> is the definitive treatment</w:t>
      </w:r>
    </w:p>
    <w:p>
      <w:r>
        <w:t xml:space="preserve">2. </w:t>
      </w:r>
      <w:r>
        <w:rPr>
          <w:b/>
        </w:rPr>
        <w:t>Routes:</w:t>
      </w:r>
      <w:r/>
    </w:p>
    <w:p>
      <w:r>
        <w:t>- Intramuscular hydroxocobalamin (first line)</w:t>
      </w:r>
    </w:p>
    <w:p>
      <w:r>
        <w:t>- Oral cyanocobalamin (for maintenance in compliant patients)</w:t>
      </w:r>
    </w:p>
    <w:p>
      <w:r>
        <w:t xml:space="preserve">3. </w:t>
      </w:r>
      <w:r>
        <w:rPr>
          <w:b/>
        </w:rPr>
        <w:t>Dosing:</w:t>
      </w:r>
      <w:r>
        <w:t xml:space="preserve"> Typically 1000 mcg IM daily for 1 week, then weekly for 1 month, then monthly</w:t>
      </w:r>
    </w:p>
    <w:p>
      <w:r>
        <w:t xml:space="preserve">4. </w:t>
      </w:r>
      <w:r>
        <w:rPr>
          <w:b/>
        </w:rPr>
        <w:t>Monitoring:</w:t>
      </w:r>
      <w:r>
        <w:t xml:space="preserve"> Neurological symptoms may improve slowly over months; some deficits may be permanent if treatment is delayed</w:t>
      </w:r>
    </w:p>
    <w:p>
      <w:r/>
      <w:r>
        <w:rPr>
          <w:b/>
        </w:rPr>
        <w:t>Key Point:</w:t>
      </w:r>
      <w:r>
        <w:t xml:space="preserve"> Early diagnosis and treatment are crucial to prevent irreversible neurological damage. Always check B12 levels in patients with unexplained neurological symptoms, especially if there are sensory deficits, gait ataxia, or signs of peripheral neuropathy.</w:t>
      </w:r>
    </w:p>
    <w:p>
      <w:r>
        <w:t>- Title: Phenytoin Toxicity</w:t>
      </w:r>
    </w:p>
    <w:p>
      <w:r>
        <w:t>Content: Mentions 'phytoin toxicity' (likely a typo for 'phenytoin toxicity'). Phenytoin is an antiepileptic drug. Toxicity can present with nystagmus, ataxia, slurred speech, confusion, and in severe cases, coma. Management includes supportive care, monitoring levels, and potentially activated charcoal if recent ingestion.</w:t>
      </w:r>
    </w:p>
    <w:p>
      <w:r>
        <w:t>- Title: Approach to Tremors - High-Yield Algorithm</w:t>
      </w:r>
    </w:p>
    <w:p>
      <w:r>
        <w:t>Content: 💡APPROACH TO TREMORS (High-Yield Algorithm)</w:t>
      </w:r>
    </w:p>
    <w:p>
      <w:r>
        <w:t>⸻</w:t>
      </w:r>
    </w:p>
    <w:p>
      <w:r>
        <w:t>KEY DEFINITIONS 📌</w:t>
      </w:r>
    </w:p>
    <w:p>
      <w:r>
        <w:t>• Rest tremor → occurs in relaxed body part</w:t>
      </w:r>
    </w:p>
    <w:p>
      <w:r>
        <w:t>• Action tremor → during voluntary movement</w:t>
      </w:r>
    </w:p>
    <w:p>
      <w:r>
        <w:t>• Intention tremor → worsens as target is approached</w:t>
      </w:r>
    </w:p>
    <w:p>
      <w:r>
        <w:t>⸻</w:t>
      </w:r>
    </w:p>
    <w:p>
      <w:r>
        <w:t>EXAM PEARLS 🧠</w:t>
      </w:r>
    </w:p>
    <w:p>
      <w:r>
        <w:t>• Rest tremor + rigidity = Parkinson’s</w:t>
      </w:r>
    </w:p>
    <w:p>
      <w:r>
        <w:t>• Tremor better with alcohol = Essential tremor</w:t>
      </w:r>
    </w:p>
    <w:p>
      <w:r>
        <w:t>• Tremor + ataxia = Cerebellar lesion</w:t>
      </w:r>
    </w:p>
    <w:p>
      <w:r>
        <w:t>• Variable tremor = Functional</w:t>
      </w:r>
    </w:p>
    <w:p>
      <w:r>
        <w:t>- Title: Upper Motor Neuron vs Lower Motor Neuron Facial Palsy</w:t>
      </w:r>
    </w:p>
    <w:p>
      <w:r>
        <w:t xml:space="preserve">Content: </w:t>
      </w:r>
      <w:r>
        <w:rPr>
          <w:b/>
        </w:rPr>
        <w:t>Clinical Differentiation:</w:t>
      </w:r>
      <w:r/>
    </w:p>
    <w:p>
      <w:r/>
      <w:r>
        <w:rPr>
          <w:b/>
        </w:rPr>
        <w:t>1. Upper Motor Neuron (UMN) Facial Palsy (e.g., Stroke)</w:t>
      </w:r>
      <w:r/>
    </w:p>
    <w:p>
      <w:r>
        <w:t xml:space="preserve">- </w:t>
      </w:r>
      <w:r>
        <w:rPr>
          <w:b/>
        </w:rPr>
        <w:t>Pattern of Weakness:</w:t>
      </w:r>
      <w:r>
        <w:t xml:space="preserve"> </w:t>
      </w:r>
      <w:r>
        <w:rPr>
          <w:b/>
        </w:rPr>
        <w:t>Lower face only</w:t>
      </w:r>
      <w:r>
        <w:t xml:space="preserve"> (sparing the forehead due to bilateral cortical innervation of the frontalis muscle).</w:t>
      </w:r>
    </w:p>
    <w:p>
      <w:r>
        <w:t xml:space="preserve">- </w:t>
      </w:r>
      <w:r>
        <w:rPr>
          <w:b/>
        </w:rPr>
        <w:t>Side of Weakness:</w:t>
      </w:r>
      <w:r>
        <w:t xml:space="preserve"> Contralateral to the brain lesion.</w:t>
      </w:r>
    </w:p>
    <w:p>
      <w:r>
        <w:t xml:space="preserve">- </w:t>
      </w:r>
      <w:r>
        <w:rPr>
          <w:b/>
        </w:rPr>
        <w:t>Associated Features:</w:t>
      </w:r>
      <w:r>
        <w:t xml:space="preserve"> Very common. Includes limb weakness, sensory loss, dysarthria, visual field defects, or other cortical signs.</w:t>
      </w:r>
    </w:p>
    <w:p>
      <w:r>
        <w:t xml:space="preserve">- </w:t>
      </w:r>
      <w:r>
        <w:rPr>
          <w:b/>
        </w:rPr>
        <w:t>Onset &amp; Context:</w:t>
      </w:r>
      <w:r>
        <w:t xml:space="preserve"> Sudden, usually in a patient with vascular risk factors as part of an acute stroke syndrome.</w:t>
      </w:r>
    </w:p>
    <w:p>
      <w:r/>
      <w:r>
        <w:rPr>
          <w:b/>
        </w:rPr>
        <w:t>2. Lower Motor Neuron (LMN) Facial Palsy (e.g., Bell's Palsy)</w:t>
      </w:r>
      <w:r/>
    </w:p>
    <w:p>
      <w:r>
        <w:t xml:space="preserve">- </w:t>
      </w:r>
      <w:r>
        <w:rPr>
          <w:b/>
        </w:rPr>
        <w:t>Pattern of Weakness:</w:t>
      </w:r>
      <w:r>
        <w:t xml:space="preserve"> </w:t>
      </w:r>
      <w:r>
        <w:rPr>
          <w:b/>
        </w:rPr>
        <w:t>Complete hemifacial weakness</w:t>
      </w:r>
      <w:r>
        <w:t xml:space="preserve">, affecting </w:t>
      </w:r>
      <w:r>
        <w:rPr>
          <w:b/>
        </w:rPr>
        <w:t>both upper and lower face</w:t>
      </w:r>
      <w:r>
        <w:t xml:space="preserve"> (cannot raise eyebrow, close eye tightly, or smile on affected side).</w:t>
      </w:r>
    </w:p>
    <w:p>
      <w:r>
        <w:t xml:space="preserve">- </w:t>
      </w:r>
      <w:r>
        <w:rPr>
          <w:b/>
        </w:rPr>
        <w:t>Side of Weakness:</w:t>
      </w:r>
      <w:r>
        <w:t xml:space="preserve"> Ipsilateral to the facial nerve lesion.</w:t>
      </w:r>
    </w:p>
    <w:p>
      <w:r>
        <w:t xml:space="preserve">- </w:t>
      </w:r>
      <w:r>
        <w:rPr>
          <w:b/>
        </w:rPr>
        <w:t>Associated Features:</w:t>
      </w:r>
      <w:r>
        <w:t xml:space="preserve"> Often isolated. May include altered taste (anterior 2/3), hyperacusis (stapedius muscle palsy), dry eye/risk of exposure keratopathy (orbicularis oculi palsy).</w:t>
      </w:r>
    </w:p>
    <w:p>
      <w:r>
        <w:t xml:space="preserve">- </w:t>
      </w:r>
      <w:r>
        <w:rPr>
          <w:b/>
        </w:rPr>
        <w:t>Onset &amp; Context:</w:t>
      </w:r>
      <w:r>
        <w:t xml:space="preserve"> Acute/subacute, often preceded by viral prodrome or cold exposure. Commonly noticed upon waking.</w:t>
      </w:r>
    </w:p>
    <w:p>
      <w:r/>
      <w:r>
        <w:rPr>
          <w:b/>
        </w:rPr>
        <w:t>Management Differentiation:</w:t>
      </w:r>
      <w:r/>
    </w:p>
    <w:p>
      <w:r/>
      <w:r>
        <w:rPr>
          <w:b/>
        </w:rPr>
        <w:t>Stroke (UMN):</w:t>
      </w:r>
      <w:r/>
    </w:p>
    <w:p>
      <w:r>
        <w:t xml:space="preserve">- </w:t>
      </w:r>
      <w:r>
        <w:rPr>
          <w:b/>
        </w:rPr>
        <w:t>Urgent:</w:t>
      </w:r>
      <w:r>
        <w:t xml:space="preserve"> Brain imaging (CT/MRI), assess for thrombolysis/thrombectomy.</w:t>
      </w:r>
    </w:p>
    <w:p>
      <w:r>
        <w:t xml:space="preserve">- </w:t>
      </w:r>
      <w:r>
        <w:rPr>
          <w:b/>
        </w:rPr>
        <w:t>Long-term:</w:t>
      </w:r>
      <w:r>
        <w:t xml:space="preserve"> Antiplatelets/anticoagulation (based on cause), statins, risk factor control (BP, glucose).</w:t>
      </w:r>
    </w:p>
    <w:p>
      <w:r>
        <w:t xml:space="preserve">- </w:t>
      </w:r>
      <w:r>
        <w:rPr>
          <w:b/>
        </w:rPr>
        <w:t>Eye care:</w:t>
      </w:r>
      <w:r>
        <w:t xml:space="preserve"> Not typically required.</w:t>
      </w:r>
    </w:p>
    <w:p>
      <w:r/>
      <w:r>
        <w:rPr>
          <w:b/>
        </w:rPr>
        <w:t>Bell's Palsy (LMN):</w:t>
      </w:r>
      <w:r/>
    </w:p>
    <w:p>
      <w:r>
        <w:t xml:space="preserve">- </w:t>
      </w:r>
      <w:r>
        <w:rPr>
          <w:b/>
        </w:rPr>
        <w:t>Medical:</w:t>
      </w:r>
      <w:r>
        <w:t xml:space="preserve"> High-dose oral corticosteroids (e.g., prednisolone 50mg daily for 10 days) started within 72 hours of onset. Role of antivirals (e.g., valacyclovir) is debated but may be considered in severe cases.</w:t>
      </w:r>
    </w:p>
    <w:p>
      <w:r>
        <w:t xml:space="preserve">- </w:t>
      </w:r>
      <w:r>
        <w:rPr>
          <w:b/>
        </w:rPr>
        <w:t>Eye care:</w:t>
      </w:r>
      <w:r>
        <w:t xml:space="preserve"> </w:t>
      </w:r>
      <w:r>
        <w:rPr>
          <w:b/>
        </w:rPr>
        <w:t>CRUCIAL.</w:t>
      </w:r>
      <w:r>
        <w:t xml:space="preserve"> Artificial tears frequently, lubricating ointment at night, consider taping eye closed or using a moisture chamber to prevent corneal abrasion/ulceration.</w:t>
      </w:r>
    </w:p>
    <w:p>
      <w:r>
        <w:t xml:space="preserve">- </w:t>
      </w:r>
      <w:r>
        <w:rPr>
          <w:b/>
        </w:rPr>
        <w:t>Prognosis:</w:t>
      </w:r>
      <w:r>
        <w:t xml:space="preserve"> Most cases improve significantly over weeks to months.</w:t>
      </w:r>
    </w:p>
    <w:p>
      <w:pPr>
        <w:pStyle w:val="Heading1"/>
      </w:pPr>
      <w:r>
        <w:t>Obstetrics</w:t>
      </w:r>
    </w:p>
    <w:p>
      <w:pPr>
        <w:pStyle w:val="Heading1"/>
      </w:pPr>
      <w:r>
        <w:t>**Obstetrics: High-Yield Clinical Summary for AMC Exam Preparation**</w:t>
      </w:r>
    </w:p>
    <w:p>
      <w:pPr>
        <w:pStyle w:val="Heading2"/>
      </w:pPr>
      <w:r>
        <w:t>**1. Infectious Diseases in Pregnancy**</w:t>
      </w:r>
    </w:p>
    <w:p>
      <w:pPr>
        <w:pStyle w:val="Heading3"/>
      </w:pPr>
      <w:r>
        <w:t>**Varicella-Zoster Virus (Chickenpox)**</w:t>
      </w:r>
    </w:p>
    <w:p>
      <w:r>
        <w:t xml:space="preserve">*   </w:t>
      </w:r>
      <w:r>
        <w:rPr>
          <w:b/>
        </w:rPr>
        <w:t>Aciclovir Indications:</w:t>
      </w:r>
      <w:r>
        <w:t xml:space="preserve"> Administer oral aciclovir if the pregnant woman presents within </w:t>
      </w:r>
      <w:r>
        <w:rPr>
          <w:b/>
        </w:rPr>
        <w:t>24 hours of rash onset</w:t>
      </w:r>
      <w:r>
        <w:t xml:space="preserve"> AND/OR if she is </w:t>
      </w:r>
      <w:r>
        <w:rPr>
          <w:b/>
        </w:rPr>
        <w:t>&gt;20 weeks gestation</w:t>
      </w:r>
      <w:r>
        <w:t>.</w:t>
      </w:r>
    </w:p>
    <w:p>
      <w:r>
        <w:t xml:space="preserve">*   </w:t>
      </w:r>
      <w:r>
        <w:rPr>
          <w:b/>
        </w:rPr>
        <w:t>Management &lt;20 Weeks:</w:t>
      </w:r>
      <w:r>
        <w:t xml:space="preserve"> If presenting within 24 hours of rash, aciclovir may still be considered, but the benefit is most significant in the second/third trimester to reduce maternal pneumonia.</w:t>
      </w:r>
    </w:p>
    <w:p>
      <w:r>
        <w:t xml:space="preserve">*   </w:t>
      </w:r>
      <w:r>
        <w:rPr>
          <w:b/>
        </w:rPr>
        <w:t>General Care:</w:t>
      </w:r>
      <w:r>
        <w:t xml:space="preserve"> Symptomatic treatment is recommended for those not meeting the above criteria.</w:t>
      </w:r>
    </w:p>
    <w:p>
      <w:r>
        <w:t xml:space="preserve">*   </w:t>
      </w:r>
      <w:r>
        <w:rPr>
          <w:b/>
        </w:rPr>
        <w:t>Reference:</w:t>
      </w:r>
      <w:r>
        <w:t xml:space="preserve"> RCOG Green-top Guideline No. 13.</w:t>
      </w:r>
    </w:p>
    <w:p>
      <w:pPr>
        <w:pStyle w:val="Heading3"/>
      </w:pPr>
      <w:r>
        <w:t>**TORCH Infections: Screening &amp; Key Features**</w:t>
      </w:r>
    </w:p>
    <w:p>
      <w:r>
        <w:t xml:space="preserve">*   </w:t>
      </w:r>
      <w:r>
        <w:rPr>
          <w:b/>
        </w:rPr>
        <w:t>Routine Antenatal Screening (Australia):</w:t>
      </w:r>
      <w:r>
        <w:t xml:space="preserve"> Rubella immunity, Syphilis, Hepatitis B, and HIV. *Note: CMV and Toxoplasmosis are not routinely screened.*</w:t>
      </w:r>
    </w:p>
    <w:p>
      <w:r>
        <w:t xml:space="preserve">*   </w:t>
      </w:r>
      <w:r>
        <w:rPr>
          <w:b/>
        </w:rPr>
        <w:t>Clinical Red Flags:</w:t>
      </w:r>
      <w:r>
        <w:t xml:space="preserve"> IUGR, microcephaly, hydrops fetalis, hepatosplenomegaly, and intracranial calcifications.</w:t>
      </w:r>
    </w:p>
    <w:p>
      <w:r>
        <w:t xml:space="preserve">*   </w:t>
      </w:r>
      <w:r>
        <w:rPr>
          <w:b/>
        </w:rPr>
        <w:t>Key Pathogens:</w:t>
      </w:r>
      <w:r/>
    </w:p>
    <w:p>
      <w:r>
        <w:t xml:space="preserve">*   </w:t>
      </w:r>
      <w:r>
        <w:rPr>
          <w:b/>
        </w:rPr>
        <w:t>Toxoplasmosis:</w:t>
      </w:r>
      <w:r>
        <w:t xml:space="preserve"> Intracranial calcifications, chorioretinitis, hydrocephalus.</w:t>
      </w:r>
    </w:p>
    <w:p>
      <w:r>
        <w:t xml:space="preserve">*   </w:t>
      </w:r>
      <w:r>
        <w:rPr>
          <w:b/>
        </w:rPr>
        <w:t>Rubella:</w:t>
      </w:r>
      <w:r>
        <w:t xml:space="preserve"> Highest risk in 1st trimester. Triad: </w:t>
      </w:r>
      <w:r>
        <w:rPr>
          <w:b/>
        </w:rPr>
        <w:t>Deafness, Cataracts, Congenital Heart Disease</w:t>
      </w:r>
      <w:r>
        <w:t xml:space="preserve"> (PDA).</w:t>
      </w:r>
    </w:p>
    <w:p>
      <w:r>
        <w:t xml:space="preserve">*   </w:t>
      </w:r>
      <w:r>
        <w:rPr>
          <w:b/>
        </w:rPr>
        <w:t>CMV:</w:t>
      </w:r>
      <w:r>
        <w:t xml:space="preserve"> Most common congenital infection. Causes sensorineural hearing loss and periventricular calcifications.</w:t>
      </w:r>
    </w:p>
    <w:p>
      <w:r>
        <w:t xml:space="preserve">*   </w:t>
      </w:r>
      <w:r>
        <w:rPr>
          <w:b/>
        </w:rPr>
        <w:t>Parvovirus B19:</w:t>
      </w:r>
      <w:r>
        <w:t xml:space="preserve"> Risk of fetal anemia and </w:t>
      </w:r>
      <w:r>
        <w:rPr>
          <w:b/>
        </w:rPr>
        <w:t>hydrops fetalis</w:t>
      </w:r>
      <w:r>
        <w:t xml:space="preserve"> (highest risk in 2nd trimester).</w:t>
      </w:r>
    </w:p>
    <w:p>
      <w:r>
        <w:t xml:space="preserve">*   </w:t>
      </w:r>
      <w:r>
        <w:rPr>
          <w:b/>
        </w:rPr>
        <w:t>Syphilis:</w:t>
      </w:r>
      <w:r>
        <w:t xml:space="preserve"> Can lead to stillbirth. Hutchinson’s triad: Notched incisors, interstitial keratitis, sensorineural deafness.</w:t>
      </w:r>
    </w:p>
    <w:p>
      <w:r>
        <w:t>---</w:t>
      </w:r>
    </w:p>
    <w:p>
      <w:pPr>
        <w:pStyle w:val="Heading2"/>
      </w:pPr>
      <w:r>
        <w:t>**2. Obstetric Haemorrhage &amp; Placental Complications**</w:t>
      </w:r>
    </w:p>
    <w:p>
      <w:pPr>
        <w:pStyle w:val="Heading3"/>
      </w:pPr>
      <w:r>
        <w:t>**Placenta Previa (Antepartum Haemorrhage - APH)**</w:t>
      </w:r>
    </w:p>
    <w:p>
      <w:r>
        <w:t xml:space="preserve">*   </w:t>
      </w:r>
      <w:r>
        <w:rPr>
          <w:b/>
        </w:rPr>
        <w:t>Immediate Management ("The 4 As"):</w:t>
      </w:r>
      <w:r/>
    </w:p>
    <w:p>
      <w:r>
        <w:t xml:space="preserve">1.  </w:t>
      </w:r>
      <w:r>
        <w:rPr>
          <w:b/>
        </w:rPr>
        <w:t>Assess:</w:t>
      </w:r>
      <w:r>
        <w:t xml:space="preserve"> Vitals, fetal heart rate, and bleeding.</w:t>
      </w:r>
    </w:p>
    <w:p>
      <w:r>
        <w:t xml:space="preserve">2.  </w:t>
      </w:r>
      <w:r>
        <w:rPr>
          <w:b/>
        </w:rPr>
        <w:t>Access:</w:t>
      </w:r>
      <w:r>
        <w:t xml:space="preserve"> Two large-bore IV cannulae.</w:t>
      </w:r>
    </w:p>
    <w:p>
      <w:r>
        <w:t xml:space="preserve">3.  </w:t>
      </w:r>
      <w:r>
        <w:rPr>
          <w:b/>
        </w:rPr>
        <w:t>Arrange:</w:t>
      </w:r>
      <w:r>
        <w:t xml:space="preserve"> </w:t>
      </w:r>
      <w:r>
        <w:rPr>
          <w:b/>
        </w:rPr>
        <w:t>Cross-match and standby blood products</w:t>
      </w:r>
      <w:r>
        <w:t xml:space="preserve"> (Priority 1 in stable patients).</w:t>
      </w:r>
    </w:p>
    <w:p>
      <w:r>
        <w:t xml:space="preserve">4.  </w:t>
      </w:r>
      <w:r>
        <w:rPr>
          <w:b/>
        </w:rPr>
        <w:t>Avoid:</w:t>
      </w:r>
      <w:r>
        <w:t xml:space="preserve"> </w:t>
      </w:r>
      <w:r>
        <w:rPr>
          <w:b/>
        </w:rPr>
        <w:t>Digital vaginal examinations</w:t>
      </w:r>
      <w:r>
        <w:t xml:space="preserve"> (can trigger massive hemorrhage).</w:t>
      </w:r>
    </w:p>
    <w:p>
      <w:r>
        <w:t xml:space="preserve">*   </w:t>
      </w:r>
      <w:r>
        <w:rPr>
          <w:b/>
        </w:rPr>
        <w:t>AMC Tip:</w:t>
      </w:r>
      <w:r>
        <w:t xml:space="preserve"> Sequencing is vital. Always arrange/cross-match blood before considering steroids or delivery in a stable patient.</w:t>
      </w:r>
    </w:p>
    <w:p>
      <w:pPr>
        <w:pStyle w:val="Heading3"/>
      </w:pPr>
      <w:r>
        <w:t>**Placental Abruption**</w:t>
      </w:r>
    </w:p>
    <w:p>
      <w:r>
        <w:t xml:space="preserve">*   </w:t>
      </w:r>
      <w:r>
        <w:rPr>
          <w:b/>
        </w:rPr>
        <w:t>Classic Triad:</w:t>
      </w:r>
      <w:r>
        <w:t xml:space="preserve"> 1) Vaginal bleeding (may be concealed), 2) </w:t>
      </w:r>
      <w:r>
        <w:rPr>
          <w:b/>
        </w:rPr>
        <w:t>Woody-hard, tender uterus</w:t>
      </w:r>
      <w:r>
        <w:t>, 3) Fetal distress/demise.</w:t>
      </w:r>
    </w:p>
    <w:p>
      <w:r>
        <w:t xml:space="preserve">*   </w:t>
      </w:r>
      <w:r>
        <w:rPr>
          <w:b/>
        </w:rPr>
        <w:t>Note:</w:t>
      </w:r>
      <w:r>
        <w:t xml:space="preserve"> Maternal shock may be disproportionate to visible blood loss due to concealed retroplacental hemorrhage.</w:t>
      </w:r>
    </w:p>
    <w:p>
      <w:pPr>
        <w:pStyle w:val="Heading3"/>
      </w:pPr>
      <w:r>
        <w:t>**Intrauterine Fetal Death (IUFD) with Hemorrhage**</w:t>
      </w:r>
    </w:p>
    <w:p>
      <w:r>
        <w:t xml:space="preserve">*   </w:t>
      </w:r>
      <w:r>
        <w:rPr>
          <w:b/>
        </w:rPr>
        <w:t>Stable Patient:</w:t>
      </w:r>
      <w:r>
        <w:t xml:space="preserve"> Aim for vaginal delivery. Standard approach: Amniotomy $\rightarrow$ Oxytocin augmentation.</w:t>
      </w:r>
    </w:p>
    <w:p>
      <w:r>
        <w:t xml:space="preserve">*   </w:t>
      </w:r>
      <w:r>
        <w:rPr>
          <w:b/>
        </w:rPr>
        <w:t>Emergency C-Section Indications:</w:t>
      </w:r>
      <w:r>
        <w:t xml:space="preserve"> Required if there is </w:t>
      </w:r>
      <w:r>
        <w:rPr>
          <w:b/>
        </w:rPr>
        <w:t>maternal instability</w:t>
      </w:r>
      <w:r>
        <w:t>, severe hemorrhage, placenta previa, or failure of labor to progress.</w:t>
      </w:r>
    </w:p>
    <w:p>
      <w:pPr>
        <w:pStyle w:val="Heading3"/>
      </w:pPr>
      <w:r>
        <w:t>**Massive Postpartum Haemorrhage (PPH) &amp; Uterine Rupture**</w:t>
      </w:r>
    </w:p>
    <w:p>
      <w:r>
        <w:t xml:space="preserve">*   </w:t>
      </w:r>
      <w:r>
        <w:rPr>
          <w:b/>
        </w:rPr>
        <w:t>Major PPH:</w:t>
      </w:r>
      <w:r>
        <w:t xml:space="preserve"> Loss of &gt;1000 mL (or 1400 mL in raw notes) requires immediate hemodynamic stabilization and the "4 Ts" approach (Tone, Trauma, Tissue, Thrombin).</w:t>
      </w:r>
    </w:p>
    <w:p>
      <w:r>
        <w:t xml:space="preserve">*   </w:t>
      </w:r>
      <w:r>
        <w:rPr>
          <w:b/>
        </w:rPr>
        <w:t>Uterine Rupture:</w:t>
      </w:r>
      <w:r>
        <w:t xml:space="preserve"> Suspect in patients with a scarred uterus or those receiving </w:t>
      </w:r>
      <w:r>
        <w:rPr>
          <w:b/>
        </w:rPr>
        <w:t>oxytocin augmentation</w:t>
      </w:r>
      <w:r>
        <w:t xml:space="preserve"> who present with sudden massive bleeding, severe abdominal pain, and loss of contractions.</w:t>
      </w:r>
    </w:p>
    <w:p>
      <w:r>
        <w:t xml:space="preserve">*   </w:t>
      </w:r>
      <w:r>
        <w:rPr>
          <w:b/>
        </w:rPr>
        <w:t>Management:</w:t>
      </w:r>
      <w:r>
        <w:t xml:space="preserve"> Immediate emergency laparotomy.</w:t>
      </w:r>
    </w:p>
    <w:p>
      <w:r>
        <w:t>---</w:t>
      </w:r>
    </w:p>
    <w:p>
      <w:pPr>
        <w:pStyle w:val="Heading2"/>
      </w:pPr>
      <w:r>
        <w:t>**3. Labour Induction and Augmentation**</w:t>
      </w:r>
    </w:p>
    <w:p>
      <w:pPr>
        <w:pStyle w:val="Heading3"/>
      </w:pPr>
      <w:r>
        <w:t>**Amniotomy (Artificial Rupture of Membranes - ARM)**</w:t>
      </w:r>
    </w:p>
    <w:p>
      <w:r>
        <w:t xml:space="preserve">*   </w:t>
      </w:r>
      <w:r>
        <w:rPr>
          <w:b/>
        </w:rPr>
        <w:t>Indications:</w:t>
      </w:r>
      <w:r>
        <w:t xml:space="preserve"> Induction or augmentation of labor when the cervix is favorable (Bishop score $\geq$ 6; dilated $\geq$ 3cm).</w:t>
      </w:r>
    </w:p>
    <w:p>
      <w:r>
        <w:t xml:space="preserve">*   </w:t>
      </w:r>
      <w:r>
        <w:rPr>
          <w:b/>
        </w:rPr>
        <w:t>Contraindications:</w:t>
      </w:r>
      <w:r>
        <w:t xml:space="preserve"> High or unengaged fetal head (due to </w:t>
      </w:r>
      <w:r>
        <w:rPr>
          <w:b/>
        </w:rPr>
        <w:t>cord prolapse risk</w:t>
      </w:r>
      <w:r>
        <w:t>).</w:t>
      </w:r>
    </w:p>
    <w:p>
      <w:r>
        <w:t xml:space="preserve">*   </w:t>
      </w:r>
      <w:r>
        <w:rPr>
          <w:b/>
        </w:rPr>
        <w:t>Monitoring:</w:t>
      </w:r>
      <w:r>
        <w:t xml:space="preserve"> Continuous CTG is required post-procedure.</w:t>
      </w:r>
    </w:p>
    <w:p>
      <w:pPr>
        <w:pStyle w:val="Heading3"/>
      </w:pPr>
      <w:r>
        <w:t>**Pharmacological Induction (Prostaglandins)**</w:t>
      </w:r>
    </w:p>
    <w:p>
      <w:r>
        <w:t xml:space="preserve">*   </w:t>
      </w:r>
      <w:r>
        <w:rPr>
          <w:b/>
        </w:rPr>
        <w:t>Agents:</w:t>
      </w:r>
      <w:r>
        <w:t xml:space="preserve"> Dinoprostone or Misoprostol.</w:t>
      </w:r>
    </w:p>
    <w:p>
      <w:r>
        <w:t xml:space="preserve">*   </w:t>
      </w:r>
      <w:r>
        <w:rPr>
          <w:b/>
        </w:rPr>
        <w:t>Mechanism:</w:t>
      </w:r>
      <w:r>
        <w:t xml:space="preserve"> Cervical ripening (softening and effacement).</w:t>
      </w:r>
    </w:p>
    <w:p>
      <w:r>
        <w:t xml:space="preserve">*   </w:t>
      </w:r>
      <w:r>
        <w:rPr>
          <w:b/>
        </w:rPr>
        <w:t>Contraindication:</w:t>
      </w:r>
      <w:r>
        <w:t xml:space="preserve"> </w:t>
      </w:r>
      <w:r>
        <w:rPr>
          <w:b/>
        </w:rPr>
        <w:t>Previous Caesarean section</w:t>
      </w:r>
      <w:r>
        <w:t xml:space="preserve"> or major uterine surgery (increased risk of uterine rupture).</w:t>
      </w:r>
    </w:p>
    <w:p>
      <w:pPr>
        <w:pStyle w:val="Heading3"/>
      </w:pPr>
      <w:r>
        <w:t>**Management of Intrauterine Fetal Death (IUFD)**</w:t>
      </w:r>
    </w:p>
    <w:p>
      <w:r>
        <w:t xml:space="preserve">*   </w:t>
      </w:r>
      <w:r>
        <w:rPr>
          <w:b/>
        </w:rPr>
        <w:t>Preferred Management:</w:t>
      </w:r>
      <w:r>
        <w:t xml:space="preserve"> Induction of labour is the standard of care.</w:t>
      </w:r>
    </w:p>
    <w:p>
      <w:r>
        <w:t xml:space="preserve">*   </w:t>
      </w:r>
      <w:r>
        <w:rPr>
          <w:b/>
        </w:rPr>
        <w:t>Risks of Expectant Management:</w:t>
      </w:r>
      <w:r>
        <w:t xml:space="preserve"> Rarely chosen due to psychological distress and the risk of </w:t>
      </w:r>
      <w:r>
        <w:rPr>
          <w:b/>
        </w:rPr>
        <w:t>disseminated intravascular coagulation (DIC)</w:t>
      </w:r>
      <w:r>
        <w:t xml:space="preserve"> if the fetus is retained for several weeks.</w:t>
      </w:r>
    </w:p>
    <w:p>
      <w:r>
        <w:t xml:space="preserve">*   </w:t>
      </w:r>
      <w:r>
        <w:rPr>
          <w:b/>
        </w:rPr>
        <w:t>Methods:</w:t>
      </w:r>
      <w:r>
        <w:t xml:space="preserve"> Mifepristone followed by misoprostol; surgical evacuation may be used in early pregnancy.</w:t>
      </w:r>
    </w:p>
    <w:p>
      <w:r>
        <w:t>---</w:t>
      </w:r>
    </w:p>
    <w:p>
      <w:pPr>
        <w:pStyle w:val="Heading2"/>
      </w:pPr>
      <w:r>
        <w:t>**4. Intrapartum Fetal Surveillance**</w:t>
      </w:r>
    </w:p>
    <w:p>
      <w:pPr>
        <w:pStyle w:val="Heading3"/>
      </w:pPr>
      <w:r>
        <w:t>**Meconium-Stained Liquor (MSL)**</w:t>
      </w:r>
    </w:p>
    <w:p>
      <w:r>
        <w:t xml:space="preserve">*   </w:t>
      </w:r>
      <w:r>
        <w:rPr>
          <w:b/>
        </w:rPr>
        <w:t>Significance:</w:t>
      </w:r>
      <w:r>
        <w:t xml:space="preserve"> MSL alone is not an indication for immediate delivery but requires continuous CTG monitoring to assess for fetal hypoxia.</w:t>
      </w:r>
    </w:p>
    <w:p>
      <w:r>
        <w:t xml:space="preserve">*   </w:t>
      </w:r>
      <w:r>
        <w:rPr>
          <w:b/>
        </w:rPr>
        <w:t>Neonatal Management (RANZCOG):</w:t>
      </w:r>
      <w:r/>
    </w:p>
    <w:p>
      <w:r>
        <w:t xml:space="preserve">*   </w:t>
      </w:r>
      <w:r>
        <w:rPr>
          <w:b/>
        </w:rPr>
        <w:t>Routine Suctioning:</w:t>
      </w:r>
      <w:r>
        <w:t xml:space="preserve"> Oropharyngeal suctioning at the perineum (before shoulders) is </w:t>
      </w:r>
      <w:r>
        <w:rPr>
          <w:b/>
        </w:rPr>
        <w:t>not recommended</w:t>
      </w:r>
      <w:r>
        <w:t>.</w:t>
      </w:r>
    </w:p>
    <w:p>
      <w:r>
        <w:t xml:space="preserve">*   </w:t>
      </w:r>
      <w:r>
        <w:rPr>
          <w:b/>
        </w:rPr>
        <w:t>Vigorous Neonate:</w:t>
      </w:r>
      <w:r>
        <w:t xml:space="preserve"> (HR &gt;100, good tone, crying) Provide routine care; avoid endotracheal suctioning.</w:t>
      </w:r>
    </w:p>
    <w:p>
      <w:r>
        <w:t xml:space="preserve">*   </w:t>
      </w:r>
      <w:r>
        <w:rPr>
          <w:b/>
        </w:rPr>
        <w:t>Non-vigorous Neonate:</w:t>
      </w:r>
      <w:r>
        <w:t xml:space="preserve"> (HR &lt;100, depressed tone, apneic) Perform direct laryngoscopy and tracheal suctioning if meconium is visible below the cords.</w:t>
      </w:r>
    </w:p>
    <w:p>
      <w:r>
        <w:t xml:space="preserve">*   </w:t>
      </w:r>
      <w:r>
        <w:rPr>
          <w:b/>
        </w:rPr>
        <w:t>Postnatal:</w:t>
      </w:r>
      <w:r>
        <w:t xml:space="preserve"> Monitor for respiratory distress/Meconium Aspiration Syndrome (MAS) for at least 12 hours.</w:t>
      </w:r>
    </w:p>
    <w:p>
      <w:r>
        <w:t>---</w:t>
      </w:r>
    </w:p>
    <w:p>
      <w:pPr>
        <w:pStyle w:val="Heading2"/>
      </w:pPr>
      <w:r>
        <w:t>**5. General Antenatal Care &amp; Nutrition**</w:t>
      </w:r>
    </w:p>
    <w:p>
      <w:pPr>
        <w:pStyle w:val="Heading3"/>
      </w:pPr>
      <w:r>
        <w:t>**Iron Deficiency and Fatigue**</w:t>
      </w:r>
    </w:p>
    <w:p>
      <w:r>
        <w:t xml:space="preserve">*   </w:t>
      </w:r>
      <w:r>
        <w:rPr>
          <w:b/>
        </w:rPr>
        <w:t>Normal Pregnancy Physiology:</w:t>
      </w:r>
      <w:r>
        <w:t xml:space="preserve"> Fatigue and shortness of breath (SOB) on exertion are common, especially in </w:t>
      </w:r>
      <w:r>
        <w:rPr>
          <w:b/>
        </w:rPr>
        <w:t>twin pregnancies</w:t>
      </w:r>
      <w:r>
        <w:t>, and do not automatically indicate pathology.</w:t>
      </w:r>
    </w:p>
    <w:p>
      <w:r>
        <w:t xml:space="preserve">*   </w:t>
      </w:r>
      <w:r>
        <w:rPr>
          <w:b/>
        </w:rPr>
        <w:t>Diagnosis of Anaemia:</w:t>
      </w:r>
      <w:r/>
    </w:p>
    <w:p>
      <w:r>
        <w:t>*   1st &amp; 3rd Trimester: Hb &lt; 11 g/dL.</w:t>
      </w:r>
    </w:p>
    <w:p>
      <w:r>
        <w:t>*   2nd Trimester: Hb &lt; 10.5 g/dL.</w:t>
      </w:r>
    </w:p>
    <w:p>
      <w:r>
        <w:t xml:space="preserve">*   </w:t>
      </w:r>
      <w:r>
        <w:rPr>
          <w:b/>
        </w:rPr>
        <w:t>Investigation:</w:t>
      </w:r>
      <w:r>
        <w:t xml:space="preserve"> Always check </w:t>
      </w:r>
      <w:r>
        <w:rPr>
          <w:b/>
        </w:rPr>
        <w:t>Ferritin</w:t>
      </w:r>
      <w:r>
        <w:t xml:space="preserve"> levels. A normal Hb does not rule out iron deficiency (depleted stores).</w:t>
      </w:r>
    </w:p>
    <w:p>
      <w:r>
        <w:t xml:space="preserve">*   </w:t>
      </w:r>
      <w:r>
        <w:rPr>
          <w:b/>
        </w:rPr>
        <w:t>Supplementation:</w:t>
      </w:r>
      <w:r>
        <w:t xml:space="preserve"> Only indicated if the patient is biochemically anaemic or iron-deficient. Twin pregnancy alone is *not* a routine indication for iron supplements.</w:t>
      </w:r>
    </w:p>
    <w:p>
      <w:pPr>
        <w:pStyle w:val="Heading1"/>
      </w:pPr>
      <w:r>
        <w:t>Obstetrics, Gynaecology</w:t>
      </w:r>
    </w:p>
    <w:p>
      <w:pPr>
        <w:pStyle w:val="Heading1"/>
      </w:pPr>
      <w:r>
        <w:t>High-Yield Clinical Summary: Obstetrics &amp; Gynaecology</w:t>
      </w:r>
    </w:p>
    <w:p>
      <w:r>
        <w:t>This summary provides a consolidated, authoritative review of key topics in Obstetrics and Gynaecology, specifically tailored for clinical practice and the Australian Medical Council (AMC) examination requirements.</w:t>
      </w:r>
    </w:p>
    <w:p>
      <w:r>
        <w:t>---</w:t>
      </w:r>
    </w:p>
    <w:p>
      <w:pPr>
        <w:pStyle w:val="Heading2"/>
      </w:pPr>
      <w:r>
        <w:t>1. Preconception Counselling: Methotrexate</w:t>
      </w:r>
    </w:p>
    <w:p>
      <w:r>
        <w:t>Methotrexate is a potent folate antagonist and known teratogen. Clinicians must provide clear guidance for patients on this medication who are considering pregnancy.</w:t>
      </w:r>
    </w:p>
    <w:p>
      <w:r>
        <w:t xml:space="preserve">*   </w:t>
      </w:r>
      <w:r>
        <w:rPr>
          <w:b/>
        </w:rPr>
        <w:t>Discontinuation Period:</w:t>
      </w:r>
      <w:r>
        <w:t xml:space="preserve"> Both </w:t>
      </w:r>
      <w:r>
        <w:rPr>
          <w:b/>
        </w:rPr>
        <w:t>men and women</w:t>
      </w:r>
      <w:r>
        <w:t xml:space="preserve"> must discontinue methotrexate at least </w:t>
      </w:r>
      <w:r>
        <w:rPr>
          <w:b/>
        </w:rPr>
        <w:t>3 months prior</w:t>
      </w:r>
      <w:r>
        <w:t xml:space="preserve"> to attempting conception.</w:t>
      </w:r>
    </w:p>
    <w:p>
      <w:r>
        <w:t xml:space="preserve">*   </w:t>
      </w:r>
      <w:r>
        <w:rPr>
          <w:b/>
        </w:rPr>
        <w:t>Rationale (Males):</w:t>
      </w:r>
      <w:r>
        <w:t xml:space="preserve"> Allows for the completion of a full cycle of spermatogenesis, ensuring the sperm used for conception was not exposed to the drug.</w:t>
      </w:r>
    </w:p>
    <w:p>
      <w:r>
        <w:t xml:space="preserve">*   </w:t>
      </w:r>
      <w:r>
        <w:rPr>
          <w:b/>
        </w:rPr>
        <w:t>Rationale (Females):</w:t>
      </w:r>
      <w:r>
        <w:t xml:space="preserve"> Ensures complete systemic clearance of the drug to eliminate the risk of teratogenic effects on the developing embryo.</w:t>
      </w:r>
    </w:p>
    <w:p>
      <w:r>
        <w:t xml:space="preserve">*   </w:t>
      </w:r>
      <w:r>
        <w:rPr>
          <w:b/>
        </w:rPr>
        <w:t>Clinical Pearl:</w:t>
      </w:r>
      <w:r>
        <w:t xml:space="preserve"> Preconception counselling is mandatory for all patients of reproductive age prescribed teratogenic medications.</w:t>
      </w:r>
    </w:p>
    <w:p>
      <w:r>
        <w:t>---</w:t>
      </w:r>
    </w:p>
    <w:p>
      <w:pPr>
        <w:pStyle w:val="Heading2"/>
      </w:pPr>
      <w:r>
        <w:t>2. Postpartum Haemorrhage (PPH): Clinical Decision Making</w:t>
      </w:r>
    </w:p>
    <w:p>
      <w:r>
        <w:t>In the acute management of PPH, the AMC exam prioritizes the interpretation of the complete clinical picture over isolated risk factors. The status of the uterus is the primary diagnostic fork in the road.</w:t>
      </w:r>
    </w:p>
    <w:p>
      <w:pPr>
        <w:pStyle w:val="Heading3"/>
      </w:pPr>
      <w:r>
        <w:t>Differential Diagnosis by Clinical Finding</w:t>
      </w:r>
    </w:p>
    <w:p>
      <w:r>
        <w:t xml:space="preserve">*   </w:t>
      </w:r>
      <w:r>
        <w:rPr>
          <w:b/>
        </w:rPr>
        <w:t>Uterine Atony:</w:t>
      </w:r>
      <w:r>
        <w:t xml:space="preserve"> Characterised by a </w:t>
      </w:r>
      <w:r>
        <w:rPr>
          <w:b/>
        </w:rPr>
        <w:t>boggy (soft) uterus</w:t>
      </w:r>
      <w:r>
        <w:t>. This is the most common cause of PPH.</w:t>
      </w:r>
    </w:p>
    <w:p>
      <w:r>
        <w:t>*   *Initial Management:* Uterine massage and uterotonics (e.g., oxytocin, ergometrine, misoprostol).</w:t>
      </w:r>
    </w:p>
    <w:p>
      <w:r>
        <w:t xml:space="preserve">*   </w:t>
      </w:r>
      <w:r>
        <w:rPr>
          <w:b/>
        </w:rPr>
        <w:t>Trauma (Lacerations):</w:t>
      </w:r>
      <w:r>
        <w:t xml:space="preserve"> Suspected when there is persistent, heavy bleeding despite a </w:t>
      </w:r>
      <w:r>
        <w:rPr>
          <w:b/>
        </w:rPr>
        <w:t>firm, contracted uterus</w:t>
      </w:r>
      <w:r>
        <w:t>.</w:t>
      </w:r>
    </w:p>
    <w:p>
      <w:r>
        <w:t>*   *Management:* Urgent examination under anaesthesia (EUA) to identify and repair cervical or vaginal tears.</w:t>
      </w:r>
    </w:p>
    <w:p>
      <w:r>
        <w:t xml:space="preserve">*   </w:t>
      </w:r>
      <w:r>
        <w:rPr>
          <w:b/>
        </w:rPr>
        <w:t>Coagulopathy/DIC:</w:t>
      </w:r>
      <w:r>
        <w:t xml:space="preserve"> Suggested by </w:t>
      </w:r>
      <w:r>
        <w:rPr>
          <w:b/>
        </w:rPr>
        <w:t>non-clotting blood</w:t>
      </w:r>
      <w:r>
        <w:t xml:space="preserve"> or oozing from IV sites.</w:t>
      </w:r>
    </w:p>
    <w:p>
      <w:r>
        <w:t xml:space="preserve">*   *Investigation:* Coagulation studies, focusing specifically on </w:t>
      </w:r>
      <w:r>
        <w:rPr>
          <w:b/>
        </w:rPr>
        <w:t>fibrinogen levels</w:t>
      </w:r>
      <w:r>
        <w:t xml:space="preserve"> (the most sensitive predictor of severe PPH).</w:t>
      </w:r>
    </w:p>
    <w:p>
      <w:r>
        <w:t xml:space="preserve">*   </w:t>
      </w:r>
      <w:r>
        <w:rPr>
          <w:b/>
        </w:rPr>
        <w:t>Retained Products of Conception (RPOC):</w:t>
      </w:r>
      <w:r>
        <w:t xml:space="preserve"> May present with a firm or boggy uterus.</w:t>
      </w:r>
    </w:p>
    <w:p>
      <w:r>
        <w:t>*   *Investigation:* Bedside ultrasound is the preferred modality if RPOC is suspected.</w:t>
      </w:r>
    </w:p>
    <w:p>
      <w:r>
        <w:t>---</w:t>
      </w:r>
    </w:p>
    <w:p>
      <w:pPr>
        <w:pStyle w:val="Heading2"/>
      </w:pPr>
      <w:r>
        <w:t>3. Spontaneous Abortion (Miscarriage)</w:t>
      </w:r>
    </w:p>
    <w:p>
      <w:r>
        <w:t xml:space="preserve">Defined as the loss of pregnancy before </w:t>
      </w:r>
      <w:r>
        <w:rPr>
          <w:b/>
        </w:rPr>
        <w:t>20 weeks’ gestation</w:t>
      </w:r>
      <w:r>
        <w:t xml:space="preserve"> (or a fetal weight &lt;400g).</w:t>
      </w:r>
    </w:p>
    <w:p>
      <w:pPr>
        <w:pStyle w:val="Heading3"/>
      </w:pPr>
      <w:r>
        <w:t>Clinical Classifications</w:t>
      </w:r>
    </w:p>
    <w:p>
      <w:r>
        <w:t xml:space="preserve">*   </w:t>
      </w:r>
      <w:r>
        <w:rPr>
          <w:b/>
        </w:rPr>
        <w:t>Threatened:</w:t>
      </w:r>
      <w:r>
        <w:t xml:space="preserve"> Vaginal bleeding, closed cervix, viable fetus on ultrasound.</w:t>
      </w:r>
    </w:p>
    <w:p>
      <w:r>
        <w:t xml:space="preserve">*   </w:t>
      </w:r>
      <w:r>
        <w:rPr>
          <w:b/>
        </w:rPr>
        <w:t>Inevitable:</w:t>
      </w:r>
      <w:r>
        <w:t xml:space="preserve"> Bleeding and pain, open cervix.</w:t>
      </w:r>
    </w:p>
    <w:p>
      <w:r>
        <w:t xml:space="preserve">*   </w:t>
      </w:r>
      <w:r>
        <w:rPr>
          <w:b/>
        </w:rPr>
        <w:t>Incomplete:</w:t>
      </w:r>
      <w:r>
        <w:t xml:space="preserve"> Partial expulsion of products; cervix usually open.</w:t>
      </w:r>
    </w:p>
    <w:p>
      <w:r>
        <w:t xml:space="preserve">*   </w:t>
      </w:r>
      <w:r>
        <w:rPr>
          <w:b/>
        </w:rPr>
        <w:t>Complete:</w:t>
      </w:r>
      <w:r>
        <w:t xml:space="preserve"> All products expelled; cervix closed; empty uterus on ultrasound.</w:t>
      </w:r>
    </w:p>
    <w:p>
      <w:r>
        <w:t xml:space="preserve">*   </w:t>
      </w:r>
      <w:r>
        <w:rPr>
          <w:b/>
        </w:rPr>
        <w:t>Missed:</w:t>
      </w:r>
      <w:r>
        <w:t xml:space="preserve"> Fetal death in utero without symptoms or cervical dilation.</w:t>
      </w:r>
    </w:p>
    <w:p>
      <w:r>
        <w:t xml:space="preserve">*   </w:t>
      </w:r>
      <w:r>
        <w:rPr>
          <w:b/>
        </w:rPr>
        <w:t>Septic:</w:t>
      </w:r>
      <w:r>
        <w:t xml:space="preserve"> Miscarriage complicated by intrauterine infection.</w:t>
      </w:r>
    </w:p>
    <w:p>
      <w:pPr>
        <w:pStyle w:val="Heading3"/>
      </w:pPr>
      <w:r>
        <w:t>Management Principles</w:t>
      </w:r>
    </w:p>
    <w:p>
      <w:r>
        <w:t xml:space="preserve">1.  </w:t>
      </w:r>
      <w:r>
        <w:rPr>
          <w:b/>
        </w:rPr>
        <w:t>Diagnosis:</w:t>
      </w:r>
      <w:r>
        <w:t xml:space="preserve"> Ultrasound is the gold standard to confirm viability, location, and completeness.</w:t>
      </w:r>
    </w:p>
    <w:p>
      <w:r>
        <w:t xml:space="preserve">2.  </w:t>
      </w:r>
      <w:r>
        <w:rPr>
          <w:b/>
        </w:rPr>
        <w:t>Options for Incomplete/Missed Miscarriage:</w:t>
      </w:r>
      <w:r/>
    </w:p>
    <w:p>
      <w:r>
        <w:t xml:space="preserve">*   </w:t>
      </w:r>
      <w:r>
        <w:rPr>
          <w:b/>
        </w:rPr>
        <w:t>Expectant:</w:t>
      </w:r>
      <w:r>
        <w:t xml:space="preserve"> Awaiting natural expulsion.</w:t>
      </w:r>
    </w:p>
    <w:p>
      <w:r>
        <w:t xml:space="preserve">*   </w:t>
      </w:r>
      <w:r>
        <w:rPr>
          <w:b/>
        </w:rPr>
        <w:t>Medical:</w:t>
      </w:r>
      <w:r>
        <w:t xml:space="preserve"> Use of misoprostol.</w:t>
      </w:r>
    </w:p>
    <w:p>
      <w:r>
        <w:t xml:space="preserve">*   </w:t>
      </w:r>
      <w:r>
        <w:rPr>
          <w:b/>
        </w:rPr>
        <w:t>Surgical:</w:t>
      </w:r>
      <w:r>
        <w:t xml:space="preserve"> Suction curettage (indicated if the patient is unstable, bleeding heavily, or prefers immediate resolution).</w:t>
      </w:r>
    </w:p>
    <w:p>
      <w:r>
        <w:t xml:space="preserve">3.  </w:t>
      </w:r>
      <w:r>
        <w:rPr>
          <w:b/>
        </w:rPr>
        <w:t>Rh(D) Prophylaxis (Anti-D):</w:t>
      </w:r>
      <w:r/>
    </w:p>
    <w:p>
      <w:r>
        <w:t xml:space="preserve">*   </w:t>
      </w:r>
      <w:r>
        <w:rPr>
          <w:b/>
        </w:rPr>
        <w:t>Mandatory:</w:t>
      </w:r>
      <w:r>
        <w:t xml:space="preserve"> For all Rh(D)-negative women after </w:t>
      </w:r>
      <w:r>
        <w:rPr>
          <w:b/>
        </w:rPr>
        <w:t>12 weeks’ gestation</w:t>
      </w:r>
      <w:r>
        <w:t>.</w:t>
      </w:r>
    </w:p>
    <w:p>
      <w:r>
        <w:t xml:space="preserve">*   </w:t>
      </w:r>
      <w:r>
        <w:rPr>
          <w:b/>
        </w:rPr>
        <w:t>Strongly Considered:</w:t>
      </w:r>
      <w:r>
        <w:t xml:space="preserve"> Before 12 weeks if there is instrumentation (e.g., curettage) or if the gestation is uncertain.</w:t>
      </w:r>
    </w:p>
    <w:p>
      <w:r>
        <w:t>---</w:t>
      </w:r>
    </w:p>
    <w:p>
      <w:pPr>
        <w:pStyle w:val="Heading2"/>
      </w:pPr>
      <w:r>
        <w:t>4. Recurrent Pregnancy Loss (RPL)</w:t>
      </w:r>
    </w:p>
    <w:p>
      <w:r>
        <w:t xml:space="preserve">RPL is defined as </w:t>
      </w:r>
      <w:r>
        <w:rPr>
          <w:b/>
        </w:rPr>
        <w:t>three or more consecutive pregnancy losses</w:t>
      </w:r>
      <w:r>
        <w:t>. (Note: While some international guidelines use $\ge$2, the $\ge$3 definition is common in high-stakes examinations).</w:t>
      </w:r>
    </w:p>
    <w:p>
      <w:pPr>
        <w:pStyle w:val="Heading3"/>
      </w:pPr>
      <w:r>
        <w:t>Aetiology (The ANTI-G Mnemonic)</w:t>
      </w:r>
    </w:p>
    <w:p>
      <w:r>
        <w:t xml:space="preserve">*   </w:t>
      </w:r>
      <w:r>
        <w:rPr>
          <w:b/>
        </w:rPr>
        <w:t>A – Anatomical:</w:t>
      </w:r>
      <w:r>
        <w:t xml:space="preserve"> Uterine septa, submucosal fibroids, or Asherman’s syndrome (intrauterine adhesions).</w:t>
      </w:r>
    </w:p>
    <w:p>
      <w:r>
        <w:t xml:space="preserve">*   </w:t>
      </w:r>
      <w:r>
        <w:rPr>
          <w:b/>
        </w:rPr>
        <w:t>N – Next (Genetic):</w:t>
      </w:r>
      <w:r>
        <w:t xml:space="preserve"> Parental balanced translocations (found in 3–5% of couples).</w:t>
      </w:r>
    </w:p>
    <w:p>
      <w:r>
        <w:t xml:space="preserve">*   </w:t>
      </w:r>
      <w:r>
        <w:rPr>
          <w:b/>
        </w:rPr>
        <w:t>T – Thrombophilia:</w:t>
      </w:r>
      <w:r>
        <w:t xml:space="preserve"> Specifically </w:t>
      </w:r>
      <w:r>
        <w:rPr>
          <w:b/>
        </w:rPr>
        <w:t>Antiphospholipid Syndrome (APS)</w:t>
      </w:r>
      <w:r>
        <w:t>; inherited thrombophilias (e.g., Factor V Leiden) are less clearly linked but often screened.</w:t>
      </w:r>
    </w:p>
    <w:p>
      <w:r>
        <w:t xml:space="preserve">*   </w:t>
      </w:r>
      <w:r>
        <w:rPr>
          <w:b/>
        </w:rPr>
        <w:t>I – Immune:</w:t>
      </w:r>
      <w:r>
        <w:t xml:space="preserve"> APS is currently the only proven immune-mediated cause.</w:t>
      </w:r>
    </w:p>
    <w:p>
      <w:r>
        <w:t xml:space="preserve">*   </w:t>
      </w:r>
      <w:r>
        <w:rPr>
          <w:b/>
        </w:rPr>
        <w:t>G – General/Endocrine:</w:t>
      </w:r>
      <w:r>
        <w:t xml:space="preserve"> Uncontrolled diabetes mellitus, thyroid dysfunction (TSH abnormalities), and PCOS.</w:t>
      </w:r>
    </w:p>
    <w:p>
      <w:pPr>
        <w:pStyle w:val="Heading3"/>
      </w:pPr>
      <w:r>
        <w:t>Recommended Initial Work-up</w:t>
      </w:r>
    </w:p>
    <w:p>
      <w:r>
        <w:t xml:space="preserve">*   </w:t>
      </w:r>
      <w:r>
        <w:rPr>
          <w:b/>
        </w:rPr>
        <w:t>Genetics:</w:t>
      </w:r>
      <w:r>
        <w:t xml:space="preserve"> Karyotyping of both parents and products of conception (if available).</w:t>
      </w:r>
    </w:p>
    <w:p>
      <w:r>
        <w:t xml:space="preserve">*   </w:t>
      </w:r>
      <w:r>
        <w:rPr>
          <w:b/>
        </w:rPr>
        <w:t>Anatomy:</w:t>
      </w:r>
      <w:r>
        <w:t xml:space="preserve"> Pelvic ultrasound (preferably 3D) or saline sonohysterography.</w:t>
      </w:r>
    </w:p>
    <w:p>
      <w:r>
        <w:t xml:space="preserve">*   </w:t>
      </w:r>
      <w:r>
        <w:rPr>
          <w:b/>
        </w:rPr>
        <w:t>Serology:</w:t>
      </w:r>
      <w:r>
        <w:t xml:space="preserve"> Antiphospholipid antibody panel (Lupus anticoagulant, anticardiolipin, and anti-β2 glycoprotein I). Testing must be repeated 12 weeks apart for diagnosis.</w:t>
      </w:r>
    </w:p>
    <w:p>
      <w:r>
        <w:t xml:space="preserve">*   </w:t>
      </w:r>
      <w:r>
        <w:rPr>
          <w:b/>
        </w:rPr>
        <w:t>Endocrine:</w:t>
      </w:r>
      <w:r>
        <w:t xml:space="preserve"> TSH, HbA1c.</w:t>
      </w:r>
    </w:p>
    <w:p>
      <w:pPr>
        <w:pStyle w:val="Heading3"/>
      </w:pPr>
      <w:r>
        <w:t>Management</w:t>
      </w:r>
    </w:p>
    <w:p>
      <w:r>
        <w:t>Management is targeted to the underlying cause (e.g., low-dose aspirin and heparin for APS, or surgical resection of a uterine septum).</w:t>
      </w:r>
    </w:p>
    <w:p>
      <w:r/>
      <w:r>
        <w:rPr>
          <w:b/>
        </w:rPr>
        <w:t>Reference:</w:t>
      </w:r>
      <w:r>
        <w:t xml:space="preserve"> Management should align with </w:t>
      </w:r>
      <w:r>
        <w:rPr>
          <w:b/>
        </w:rPr>
        <w:t>RANZCOG</w:t>
      </w:r>
      <w:r>
        <w:t xml:space="preserve"> (Royal Australian and New Zealand College of Obstetricians and Gynaecologists) guidelines.</w:t>
      </w:r>
    </w:p>
    <w:p>
      <w:pPr>
        <w:pStyle w:val="Heading1"/>
      </w:pPr>
      <w:r>
        <w:t>Oncology</w:t>
      </w:r>
    </w:p>
    <w:p>
      <w:pPr>
        <w:pStyle w:val="Heading1"/>
      </w:pPr>
      <w:r>
        <w:t>Renal Cell Carcinoma (RCC)</w:t>
      </w:r>
    </w:p>
    <w:p>
      <w:pPr>
        <w:pStyle w:val="Heading2"/>
      </w:pPr>
      <w:r>
        <w:t>Clinical Presentation</w:t>
      </w:r>
    </w:p>
    <w:p>
      <w:r>
        <w:t xml:space="preserve">*   The </w:t>
      </w:r>
      <w:r>
        <w:rPr>
          <w:b/>
        </w:rPr>
        <w:t>classic triad</w:t>
      </w:r>
      <w:r>
        <w:t xml:space="preserve"> of haematuria, flank pain, and a palpable abdominal mass is present in </w:t>
      </w:r>
      <w:r>
        <w:rPr>
          <w:b/>
        </w:rPr>
        <w:t>&lt;10%</w:t>
      </w:r>
      <w:r>
        <w:t xml:space="preserve"> of cases.</w:t>
      </w:r>
    </w:p>
    <w:p>
      <w:r>
        <w:t xml:space="preserve">*   RCC is often discovered </w:t>
      </w:r>
      <w:r>
        <w:rPr>
          <w:b/>
        </w:rPr>
        <w:t>incidentally</w:t>
      </w:r>
      <w:r>
        <w:t xml:space="preserve"> on abdominal imaging (e.g., ultrasound or CT).</w:t>
      </w:r>
    </w:p>
    <w:p>
      <w:pPr>
        <w:pStyle w:val="Heading2"/>
      </w:pPr>
      <w:r>
        <w:t>Paraneoplastic Syndromes (Common)</w:t>
      </w:r>
    </w:p>
    <w:p>
      <w:r>
        <w:t>RCC is notable for producing a variety of paraneoplastic syndromes:</w:t>
      </w:r>
    </w:p>
    <w:p>
      <w:r>
        <w:t xml:space="preserve">*   </w:t>
      </w:r>
      <w:r>
        <w:rPr>
          <w:b/>
        </w:rPr>
        <w:t>Erythrocytosis</w:t>
      </w:r>
      <w:r>
        <w:t xml:space="preserve"> (due to ectopic erythropoietin [EPO] production).</w:t>
      </w:r>
    </w:p>
    <w:p>
      <w:r>
        <w:t xml:space="preserve">*   </w:t>
      </w:r>
      <w:r>
        <w:rPr>
          <w:b/>
        </w:rPr>
        <w:t>Hypercalcaemia</w:t>
      </w:r>
      <w:r>
        <w:t xml:space="preserve"> (due to parathyroid hormone-related peptide [PTHrP] production).</w:t>
      </w:r>
    </w:p>
    <w:p>
      <w:r>
        <w:t xml:space="preserve">*   </w:t>
      </w:r>
      <w:r>
        <w:rPr>
          <w:b/>
        </w:rPr>
        <w:t>Hypertension</w:t>
      </w:r>
      <w:r>
        <w:t xml:space="preserve"> (due to renin production).</w:t>
      </w:r>
    </w:p>
    <w:p>
      <w:r>
        <w:t xml:space="preserve">*   </w:t>
      </w:r>
      <w:r>
        <w:rPr>
          <w:b/>
        </w:rPr>
        <w:t>Stauffer's Syndrome:</w:t>
      </w:r>
      <w:r>
        <w:t xml:space="preserve"> Non-metastatic hepatic dysfunction (elevated alkaline phosphatase, prolonged prothrombin time) that resolves after nephrectomy.</w:t>
      </w:r>
    </w:p>
    <w:p>
      <w:pPr>
        <w:pStyle w:val="Heading2"/>
      </w:pPr>
      <w:r>
        <w:t>Diagnosis &amp; Staging</w:t>
      </w:r>
    </w:p>
    <w:p>
      <w:r>
        <w:t xml:space="preserve">*   </w:t>
      </w:r>
      <w:r>
        <w:rPr>
          <w:b/>
        </w:rPr>
        <w:t>CT abdomen</w:t>
      </w:r>
      <w:r>
        <w:t xml:space="preserve"> (with contrast) is the mainstay for diagnosis and staging.</w:t>
      </w:r>
    </w:p>
    <w:p>
      <w:pPr>
        <w:pStyle w:val="Heading2"/>
      </w:pPr>
      <w:r>
        <w:t>Treatment</w:t>
      </w:r>
    </w:p>
    <w:p>
      <w:r>
        <w:t xml:space="preserve">*   </w:t>
      </w:r>
      <w:r>
        <w:rPr>
          <w:b/>
        </w:rPr>
        <w:t>Localised disease:</w:t>
      </w:r>
      <w:r>
        <w:t xml:space="preserve"> Surgical resection via </w:t>
      </w:r>
      <w:r>
        <w:rPr>
          <w:b/>
        </w:rPr>
        <w:t>partial or radical nephrectomy</w:t>
      </w:r>
      <w:r>
        <w:t>.</w:t>
      </w:r>
    </w:p>
    <w:p>
      <w:r>
        <w:t xml:space="preserve">*   </w:t>
      </w:r>
      <w:r>
        <w:rPr>
          <w:b/>
        </w:rPr>
        <w:t>Advanced/Metastatic disease:</w:t>
      </w:r>
      <w:r>
        <w:t xml:space="preserve"> Treatment is based on </w:t>
      </w:r>
      <w:r>
        <w:rPr>
          <w:b/>
        </w:rPr>
        <w:t>targeted therapies</w:t>
      </w:r>
      <w:r>
        <w:t xml:space="preserve"> (e.g., tyrosine kinase inhibitors like sunitinib, pazopanib) and </w:t>
      </w:r>
      <w:r>
        <w:rPr>
          <w:b/>
        </w:rPr>
        <w:t>immunotherapy</w:t>
      </w:r>
      <w:r>
        <w:t xml:space="preserve"> (e.g., nivolumab).</w:t>
      </w:r>
    </w:p>
    <w:p>
      <w:r>
        <w:t xml:space="preserve">*   </w:t>
      </w:r>
      <w:r>
        <w:rPr>
          <w:b/>
        </w:rPr>
        <w:t>Key Resistance Note:</w:t>
      </w:r>
      <w:r>
        <w:t xml:space="preserve"> RCC is classically </w:t>
      </w:r>
      <w:r>
        <w:rPr>
          <w:b/>
        </w:rPr>
        <w:t>radioresistant</w:t>
      </w:r>
      <w:r>
        <w:t xml:space="preserve"> and </w:t>
      </w:r>
      <w:r>
        <w:rPr>
          <w:b/>
        </w:rPr>
        <w:t>chemoresistant</w:t>
      </w:r>
      <w:r>
        <w:t>.</w:t>
      </w:r>
    </w:p>
    <w:p>
      <w:r>
        <w:t>---</w:t>
      </w:r>
    </w:p>
    <w:p>
      <w:pPr>
        <w:pStyle w:val="Heading1"/>
      </w:pPr>
      <w:r>
        <w:t>High-Yield Tumor Markers</w:t>
      </w:r>
    </w:p>
    <w:p>
      <w:r>
        <w:t>| Tumor Marker | Primary Clinical Associations |</w:t>
      </w:r>
    </w:p>
    <w:p>
      <w:r>
        <w:t>| :--- | :--- |</w:t>
      </w:r>
    </w:p>
    <w:p>
      <w:r>
        <w:t xml:space="preserve">| </w:t>
      </w:r>
      <w:r>
        <w:rPr>
          <w:b/>
        </w:rPr>
        <w:t>AFP (Alpha-fetoprotein)</w:t>
      </w:r>
      <w:r>
        <w:t xml:space="preserve"> | Hepatocellular carcinoma (HCC), yolk sac tumor, hepatoblastoma |</w:t>
      </w:r>
    </w:p>
    <w:p>
      <w:r>
        <w:t xml:space="preserve">| </w:t>
      </w:r>
      <w:r>
        <w:rPr>
          <w:b/>
        </w:rPr>
        <w:t>β-hCG (Beta-human chorionic gonadotropin)</w:t>
      </w:r>
      <w:r>
        <w:t xml:space="preserve"> | Choriocarcinoma, testicular germ cell tumors, molar pregnancy |</w:t>
      </w:r>
    </w:p>
    <w:p>
      <w:r>
        <w:t xml:space="preserve">| </w:t>
      </w:r>
      <w:r>
        <w:rPr>
          <w:b/>
        </w:rPr>
        <w:t>CA-125</w:t>
      </w:r>
      <w:r>
        <w:t xml:space="preserve"> | Ovarian cancer (monitoring, not screening) |</w:t>
      </w:r>
    </w:p>
    <w:p>
      <w:r>
        <w:t xml:space="preserve">| </w:t>
      </w:r>
      <w:r>
        <w:rPr>
          <w:b/>
        </w:rPr>
        <w:t>CA 19-9</w:t>
      </w:r>
      <w:r>
        <w:t xml:space="preserve"> | Pancreatic cancer (monitoring) |</w:t>
      </w:r>
    </w:p>
    <w:p>
      <w:r>
        <w:t xml:space="preserve">| </w:t>
      </w:r>
      <w:r>
        <w:rPr>
          <w:b/>
        </w:rPr>
        <w:t>CA 15-3</w:t>
      </w:r>
      <w:r>
        <w:t xml:space="preserve"> | Breast cancer (monitoring) |</w:t>
      </w:r>
    </w:p>
    <w:p>
      <w:r>
        <w:t xml:space="preserve">| </w:t>
      </w:r>
      <w:r>
        <w:rPr>
          <w:b/>
        </w:rPr>
        <w:t>CEA (Carcinoembryonic antigen)</w:t>
      </w:r>
      <w:r>
        <w:t xml:space="preserve"> | Colorectal cancer (monitoring) |</w:t>
      </w:r>
    </w:p>
    <w:p>
      <w:r>
        <w:t xml:space="preserve">| </w:t>
      </w:r>
      <w:r>
        <w:rPr>
          <w:b/>
        </w:rPr>
        <w:t>PSA (Prostate-specific antigen)</w:t>
      </w:r>
      <w:r>
        <w:t xml:space="preserve"> | Prostate cancer (screening and monitoring) |</w:t>
      </w:r>
    </w:p>
    <w:p>
      <w:r>
        <w:t xml:space="preserve">| </w:t>
      </w:r>
      <w:r>
        <w:rPr>
          <w:b/>
        </w:rPr>
        <w:t>S-100</w:t>
      </w:r>
      <w:r>
        <w:t xml:space="preserve"> | Melanoma, Schwannoma |</w:t>
      </w:r>
    </w:p>
    <w:p>
      <w:r>
        <w:t xml:space="preserve">| </w:t>
      </w:r>
      <w:r>
        <w:rPr>
          <w:b/>
        </w:rPr>
        <w:t>Chromogranin A</w:t>
      </w:r>
      <w:r>
        <w:t xml:space="preserve"> | Neuroendocrine tumors |</w:t>
      </w:r>
    </w:p>
    <w:p>
      <w:r>
        <w:t xml:space="preserve">| </w:t>
      </w:r>
      <w:r>
        <w:rPr>
          <w:b/>
        </w:rPr>
        <w:t>5-HIAA (5-Hydroxyindoleacetic acid)</w:t>
      </w:r>
      <w:r>
        <w:t xml:space="preserve"> | Carcinoid syndrome (diagnosis; associated with flushing, diarrhea, right-sided heart valvular disease) |</w:t>
      </w:r>
    </w:p>
    <w:p>
      <w:pPr>
        <w:pStyle w:val="Heading1"/>
      </w:pPr>
      <w:r>
        <w:t>Oncology/Respiratory</w:t>
      </w:r>
    </w:p>
    <w:p>
      <w:pPr>
        <w:pStyle w:val="Heading1"/>
      </w:pPr>
      <w:r>
        <w:t>Radiation-Induced Pneumonitis</w:t>
      </w:r>
    </w:p>
    <w:p>
      <w:pPr>
        <w:pStyle w:val="Heading2"/>
      </w:pPr>
      <w:r>
        <w:t>Overview</w:t>
      </w:r>
    </w:p>
    <w:p>
      <w:r>
        <w:t>Radiation-induced pneumonitis is a significant inflammatory complication that can occur following radiation therapy to the thorax. It is a key consideration in the management of patients with lung cancer, breast cancer, esophageal cancer, or lymphomas who undergo thoracic irradiation.</w:t>
      </w:r>
    </w:p>
    <w:p>
      <w:pPr>
        <w:pStyle w:val="Heading2"/>
      </w:pPr>
      <w:r>
        <w:t>Key Clinical Features</w:t>
      </w:r>
    </w:p>
    <w:p>
      <w:r>
        <w:t xml:space="preserve">*   </w:t>
      </w:r>
      <w:r>
        <w:rPr>
          <w:b/>
        </w:rPr>
        <w:t>Timing:</w:t>
      </w:r>
      <w:r>
        <w:t xml:space="preserve"> Typically presents 1 to 6 months after the completion of radiation therapy.</w:t>
      </w:r>
    </w:p>
    <w:p>
      <w:r>
        <w:t xml:space="preserve">*   </w:t>
      </w:r>
      <w:r>
        <w:rPr>
          <w:b/>
        </w:rPr>
        <w:t>Symptoms:</w:t>
      </w:r>
      <w:r>
        <w:t xml:space="preserve"> Common symptoms include a dry, non-productive cough, dyspnea (shortness of breath), and low-grade fever. Symptoms may be mild or severe.</w:t>
      </w:r>
    </w:p>
    <w:p>
      <w:r>
        <w:t xml:space="preserve">*   </w:t>
      </w:r>
      <w:r>
        <w:rPr>
          <w:b/>
        </w:rPr>
        <w:t>Signs:</w:t>
      </w:r>
      <w:r>
        <w:t xml:space="preserve"> Examination may reveal fine inspiratory crackles (velcro rales) in the irradiated lung field.</w:t>
      </w:r>
    </w:p>
    <w:p>
      <w:r>
        <w:t xml:space="preserve">*   </w:t>
      </w:r>
      <w:r>
        <w:rPr>
          <w:b/>
        </w:rPr>
        <w:t>Diagnosis:</w:t>
      </w:r>
      <w:r>
        <w:t xml:space="preserve"> Primarily clinical, based on the history of radiation and symptom onset. Imaging is confirmatory.</w:t>
      </w:r>
    </w:p>
    <w:p>
      <w:r>
        <w:t xml:space="preserve">*   </w:t>
      </w:r>
      <w:r>
        <w:rPr>
          <w:b/>
        </w:rPr>
        <w:t>Chest X-ray:</w:t>
      </w:r>
      <w:r>
        <w:t xml:space="preserve"> May show hazy opacities or consolidation corresponding to the radiation port.</w:t>
      </w:r>
    </w:p>
    <w:p>
      <w:r>
        <w:t xml:space="preserve">*   </w:t>
      </w:r>
      <w:r>
        <w:rPr>
          <w:b/>
        </w:rPr>
        <w:t>CT Chest (Gold Standard):</w:t>
      </w:r>
      <w:r>
        <w:t xml:space="preserve"> Demonstrates ground-glass opacities and/or consolidation with a geometric, non-anatomical border that conforms to the radiation field.</w:t>
      </w:r>
    </w:p>
    <w:p>
      <w:pPr>
        <w:pStyle w:val="Heading2"/>
      </w:pPr>
      <w:r>
        <w:t>Pathophysiology &amp; Risk Factors</w:t>
      </w:r>
    </w:p>
    <w:p>
      <w:r>
        <w:t xml:space="preserve">*   </w:t>
      </w:r>
      <w:r>
        <w:rPr>
          <w:b/>
        </w:rPr>
        <w:t>Mechanism:</w:t>
      </w:r>
      <w:r>
        <w:t xml:space="preserve"> Caused by an inflammatory response to alveolar epithelial and endothelial cell damage from radiation, leading to increased vascular permeability and edema.</w:t>
      </w:r>
    </w:p>
    <w:p>
      <w:r>
        <w:t xml:space="preserve">*   </w:t>
      </w:r>
      <w:r>
        <w:rPr>
          <w:b/>
        </w:rPr>
        <w:t>Key Risk Factors:</w:t>
      </w:r>
      <w:r/>
    </w:p>
    <w:p>
      <w:r>
        <w:t xml:space="preserve">*   </w:t>
      </w:r>
      <w:r>
        <w:rPr>
          <w:b/>
        </w:rPr>
        <w:t>Radiation Dose &amp; Volume:</w:t>
      </w:r>
      <w:r>
        <w:t xml:space="preserve"> Higher total dose and larger volume of lung irradiated.</w:t>
      </w:r>
    </w:p>
    <w:p>
      <w:r>
        <w:t xml:space="preserve">*   </w:t>
      </w:r>
      <w:r>
        <w:rPr>
          <w:b/>
        </w:rPr>
        <w:t>Concurrent Chemotherapy,</w:t>
      </w:r>
      <w:r>
        <w:t xml:space="preserve"> particularly with agents like bleomycin, gemcitabine, or checkpoint inhibitors, which can have synergistic toxic effects.</w:t>
      </w:r>
    </w:p>
    <w:p>
      <w:r>
        <w:t xml:space="preserve">*   </w:t>
      </w:r>
      <w:r>
        <w:rPr>
          <w:b/>
        </w:rPr>
        <w:t>Pre-existing Lung Disease</w:t>
      </w:r>
      <w:r>
        <w:t xml:space="preserve"> (e.g., COPD).</w:t>
      </w:r>
    </w:p>
    <w:p>
      <w:r>
        <w:t xml:space="preserve">*   </w:t>
      </w:r>
      <w:r>
        <w:rPr>
          <w:b/>
        </w:rPr>
        <w:t>Tobacco Use.</w:t>
      </w:r>
      <w:r/>
    </w:p>
    <w:p>
      <w:pPr>
        <w:pStyle w:val="Heading2"/>
      </w:pPr>
      <w:r>
        <w:t>Management Principles</w:t>
      </w:r>
    </w:p>
    <w:p>
      <w:r>
        <w:t xml:space="preserve">*   </w:t>
      </w:r>
      <w:r>
        <w:rPr>
          <w:b/>
        </w:rPr>
        <w:t>Prevention:</w:t>
      </w:r>
      <w:r>
        <w:t xml:space="preserve"> Careful radiation planning (e.g., IMRT, VMAT) to minimize lung volume exposure (V20 dose constraint is critical).</w:t>
      </w:r>
    </w:p>
    <w:p>
      <w:r>
        <w:t xml:space="preserve">*   </w:t>
      </w:r>
      <w:r>
        <w:rPr>
          <w:b/>
        </w:rPr>
        <w:t>First-Line Treatment:</w:t>
      </w:r>
      <w:r>
        <w:t xml:space="preserve"> </w:t>
      </w:r>
      <w:r>
        <w:rPr>
          <w:b/>
        </w:rPr>
        <w:t>Systemic corticosteroids</w:t>
      </w:r>
      <w:r>
        <w:t xml:space="preserve"> (e.g., prednisone 1 mg/kg/day) with a slow, graded taper over several weeks to months. Rapid tapering can lead to symptom recurrence.</w:t>
      </w:r>
    </w:p>
    <w:p>
      <w:r>
        <w:t xml:space="preserve">*   </w:t>
      </w:r>
      <w:r>
        <w:rPr>
          <w:b/>
        </w:rPr>
        <w:t>Supportive Care:</w:t>
      </w:r>
      <w:r>
        <w:t xml:space="preserve"> Supplemental oxygen for hypoxemia, bronchodilators if a bronchospastic component is present, and treatment of any secondary infections.</w:t>
      </w:r>
    </w:p>
    <w:p>
      <w:r>
        <w:t xml:space="preserve">*   </w:t>
      </w:r>
      <w:r>
        <w:rPr>
          <w:b/>
        </w:rPr>
        <w:t>Monitoring:</w:t>
      </w:r>
      <w:r>
        <w:t xml:space="preserve"> Serial clinical assessment and pulmonary function tests (PFTs) to track recovery.</w:t>
      </w:r>
    </w:p>
    <w:p>
      <w:pPr>
        <w:pStyle w:val="Heading2"/>
      </w:pPr>
      <w:r>
        <w:t>AMC Exam Focus</w:t>
      </w:r>
    </w:p>
    <w:p>
      <w:r>
        <w:t xml:space="preserve">*   Recognize the </w:t>
      </w:r>
      <w:r>
        <w:rPr>
          <w:b/>
        </w:rPr>
        <w:t>temporal relationship</w:t>
      </w:r>
      <w:r>
        <w:t xml:space="preserve"> to thoracic radiation.</w:t>
      </w:r>
    </w:p>
    <w:p>
      <w:r>
        <w:t xml:space="preserve">*   Identify the classic </w:t>
      </w:r>
      <w:r>
        <w:rPr>
          <w:b/>
        </w:rPr>
        <w:t>imaging findings on CT</w:t>
      </w:r>
      <w:r>
        <w:t xml:space="preserve"> (geometric ground-glass opacities).</w:t>
      </w:r>
    </w:p>
    <w:p>
      <w:r>
        <w:t xml:space="preserve">*   Know that </w:t>
      </w:r>
      <w:r>
        <w:rPr>
          <w:b/>
        </w:rPr>
        <w:t>high-dose corticosteroids</w:t>
      </w:r>
      <w:r>
        <w:t xml:space="preserve"> are the cornerstone of treatment.</w:t>
      </w:r>
    </w:p>
    <w:p>
      <w:r>
        <w:t xml:space="preserve">*   Understand that chronic, untreated pneumonitis can progress to </w:t>
      </w:r>
      <w:r>
        <w:rPr>
          <w:b/>
        </w:rPr>
        <w:t>radiation fibrosis</w:t>
      </w:r>
      <w:r>
        <w:t>, which is irreversible.</w:t>
      </w:r>
    </w:p>
    <w:p>
      <w:pPr>
        <w:pStyle w:val="Heading1"/>
      </w:pPr>
      <w:r>
        <w:t>Orthopaedics/Emergency</w:t>
      </w:r>
    </w:p>
    <w:p>
      <w:pPr>
        <w:pStyle w:val="Heading1"/>
      </w:pPr>
      <w:r>
        <w:t>Diagnostic Approach to Suspected Septic Arthritis</w:t>
      </w:r>
    </w:p>
    <w:p>
      <w:r/>
      <w:r>
        <w:rPr>
          <w:b/>
        </w:rPr>
        <w:t>Septic arthritis is an orthopaedic emergency.</w:t>
      </w:r>
      <w:r>
        <w:t xml:space="preserve"> The diagnostic pathway is sequential and time-critical to prevent irreversible joint destruction.</w:t>
      </w:r>
    </w:p>
    <w:p>
      <w:pPr>
        <w:pStyle w:val="Heading2"/>
      </w:pPr>
      <w:r>
        <w:t>Key Clinical Features (Triggers for Suspicion)</w:t>
      </w:r>
    </w:p>
    <w:p>
      <w:r>
        <w:t xml:space="preserve">*   Acute onset of a </w:t>
      </w:r>
      <w:r>
        <w:rPr>
          <w:b/>
        </w:rPr>
        <w:t>monoarthritis</w:t>
      </w:r>
      <w:r>
        <w:t xml:space="preserve"> (single joint).</w:t>
      </w:r>
    </w:p>
    <w:p>
      <w:r>
        <w:t>*   Cardinal signs: severe joint pain, swelling, erythema, warmth, and restricted movement.</w:t>
      </w:r>
    </w:p>
    <w:p>
      <w:r>
        <w:t>*   Systemic symptoms such as fever, chills, and malaise may be present.</w:t>
      </w:r>
    </w:p>
    <w:p>
      <w:pPr>
        <w:pStyle w:val="Heading2"/>
      </w:pPr>
      <w:r>
        <w:t>Stepwise Diagnostic Pathway</w:t>
      </w:r>
    </w:p>
    <w:p>
      <w:pPr>
        <w:pStyle w:val="Heading3"/>
      </w:pPr>
      <w:r>
        <w:t>1. Confirm Effusion &amp; Plan Aspiration</w:t>
      </w:r>
    </w:p>
    <w:p>
      <w:r>
        <w:t xml:space="preserve">*   </w:t>
      </w:r>
      <w:r>
        <w:rPr>
          <w:b/>
        </w:rPr>
        <w:t>Bedside Ultrasound</w:t>
      </w:r>
      <w:r>
        <w:t xml:space="preserve"> is a rapid, non-invasive tool to confirm the presence of a joint effusion, supporting the decision for urgent aspiration.</w:t>
      </w:r>
    </w:p>
    <w:p>
      <w:pPr>
        <w:pStyle w:val="Heading3"/>
      </w:pPr>
      <w:r>
        <w:t>2. Urgent Diagnostic Joint Aspiration</w:t>
      </w:r>
    </w:p>
    <w:p>
      <w:r>
        <w:t xml:space="preserve">*   This is the </w:t>
      </w:r>
      <w:r>
        <w:rPr>
          <w:b/>
        </w:rPr>
        <w:t>definitive diagnostic step</w:t>
      </w:r>
      <w:r>
        <w:t>.</w:t>
      </w:r>
    </w:p>
    <w:p>
      <w:r>
        <w:t xml:space="preserve">*   </w:t>
      </w:r>
      <w:r>
        <w:rPr>
          <w:b/>
        </w:rPr>
        <w:t>Synovial fluid must be sent for:</w:t>
      </w:r>
      <w:r/>
    </w:p>
    <w:p>
      <w:r>
        <w:t xml:space="preserve">*   </w:t>
      </w:r>
      <w:r>
        <w:rPr>
          <w:b/>
        </w:rPr>
        <w:t>Cell count &amp; differential:</w:t>
      </w:r>
      <w:r>
        <w:t xml:space="preserve"> A white blood cell count </w:t>
      </w:r>
      <w:r>
        <w:rPr>
          <w:b/>
        </w:rPr>
        <w:t>&gt;50,000/mm³</w:t>
      </w:r>
      <w:r>
        <w:t xml:space="preserve"> with </w:t>
      </w:r>
      <w:r>
        <w:rPr>
          <w:b/>
        </w:rPr>
        <w:t>&gt;90% neutrophils</w:t>
      </w:r>
      <w:r>
        <w:t xml:space="preserve"> is highly suggestive.</w:t>
      </w:r>
    </w:p>
    <w:p>
      <w:r>
        <w:t xml:space="preserve">*   </w:t>
      </w:r>
      <w:r>
        <w:rPr>
          <w:b/>
        </w:rPr>
        <w:t>Gram stain and culture:</w:t>
      </w:r>
      <w:r>
        <w:t xml:space="preserve"> Essential for identifying the causative organism.</w:t>
      </w:r>
    </w:p>
    <w:p>
      <w:r>
        <w:t xml:space="preserve">*   </w:t>
      </w:r>
      <w:r>
        <w:rPr>
          <w:b/>
        </w:rPr>
        <w:t>Polarised light microscopy:</w:t>
      </w:r>
      <w:r>
        <w:t xml:space="preserve"> To rule out crystal arthropathies (gout or pseudogout), which can present similarly.</w:t>
      </w:r>
    </w:p>
    <w:p>
      <w:pPr>
        <w:pStyle w:val="Heading3"/>
      </w:pPr>
      <w:r>
        <w:t>3. Immediate Empirical Antibiotic Therapy</w:t>
      </w:r>
    </w:p>
    <w:p>
      <w:r>
        <w:t xml:space="preserve">*   </w:t>
      </w:r>
      <w:r>
        <w:rPr>
          <w:b/>
        </w:rPr>
        <w:t>Start broad-spectrum intravenous antibiotics immediately after synovial fluid aspiration.</w:t>
      </w:r>
      <w:r/>
    </w:p>
    <w:p>
      <w:r>
        <w:t xml:space="preserve">*   </w:t>
      </w:r>
      <w:r>
        <w:rPr>
          <w:b/>
        </w:rPr>
        <w:t>Critical Principle:</w:t>
      </w:r>
      <w:r>
        <w:t xml:space="preserve"> Do not delay antibiotics while awaiting all laboratory results if clinical suspicion is high. However, antibiotics must be given </w:t>
      </w:r>
      <w:r>
        <w:rPr>
          <w:b/>
        </w:rPr>
        <w:t>after</w:t>
      </w:r>
      <w:r>
        <w:t xml:space="preserve"> aspiration to avoid sterilizing the culture and obscuring the diagnosis.</w:t>
      </w:r>
    </w:p>
    <w:p>
      <w:pPr>
        <w:pStyle w:val="Heading1"/>
      </w:pPr>
      <w:r>
        <w:t>Paediatric</w:t>
      </w:r>
    </w:p>
    <w:p>
      <w:pPr>
        <w:pStyle w:val="Heading1"/>
      </w:pPr>
      <w:r>
        <w:t>Clinical Review: Essential Paediatrics for the AMC Exam</w:t>
      </w:r>
    </w:p>
    <w:p>
      <w:r>
        <w:t>This summary consolidates high-yield clinical pearls, diagnostic protocols, and management strategies for the Australian Medical Council (AMC) examination.</w:t>
      </w:r>
    </w:p>
    <w:p>
      <w:r>
        <w:t>---</w:t>
      </w:r>
    </w:p>
    <w:p>
      <w:pPr>
        <w:pStyle w:val="Heading2"/>
      </w:pPr>
      <w:r>
        <w:t>1. Respiratory and Airway Disorders</w:t>
      </w:r>
    </w:p>
    <w:p>
      <w:pPr>
        <w:pStyle w:val="Heading3"/>
      </w:pPr>
      <w:r>
        <w:t>Cystic Fibrosis (CF): Clinical Indicators</w:t>
      </w:r>
    </w:p>
    <w:p>
      <w:r>
        <w:t xml:space="preserve">*   </w:t>
      </w:r>
      <w:r>
        <w:rPr>
          <w:b/>
        </w:rPr>
        <w:t>The "Dual Presenter":</w:t>
      </w:r>
      <w:r>
        <w:t xml:space="preserve"> Consider CF in any child presenting with </w:t>
      </w:r>
      <w:r>
        <w:rPr>
          <w:b/>
        </w:rPr>
        <w:t>recurrent respiratory infections AND hypochromic microcytic anemia</w:t>
      </w:r>
      <w:r>
        <w:t>.</w:t>
      </w:r>
    </w:p>
    <w:p>
      <w:r>
        <w:t>*   *Pathophysiology:* Recurrent infections stem from viscous mucus, while anemia results from malabsorption (pancreatic insufficiency) or chronic inflammation.</w:t>
      </w:r>
    </w:p>
    <w:p>
      <w:r>
        <w:t xml:space="preserve">*   </w:t>
      </w:r>
      <w:r>
        <w:rPr>
          <w:b/>
        </w:rPr>
        <w:t>Growth as a Diagnostic Discriminator:</w:t>
      </w:r>
      <w:r>
        <w:t xml:space="preserve"> Normal growth is a strong negative predictor for CF. In contrast, </w:t>
      </w:r>
      <w:r>
        <w:rPr>
          <w:b/>
        </w:rPr>
        <w:t>Failure to Thrive (FTT)</w:t>
      </w:r>
      <w:r>
        <w:t xml:space="preserve"> and poor weight gain are hallmark findings due to the high metabolic demand of lung disease and malabsorption.</w:t>
      </w:r>
    </w:p>
    <w:p>
      <w:r>
        <w:t xml:space="preserve">*   </w:t>
      </w:r>
      <w:r>
        <w:rPr>
          <w:b/>
        </w:rPr>
        <w:t>Associated Signs:</w:t>
      </w:r>
      <w:r>
        <w:t xml:space="preserve"> Always assess for digital clubbing, steatorrhea, and a family history of similar symptoms.</w:t>
      </w:r>
    </w:p>
    <w:p>
      <w:pPr>
        <w:pStyle w:val="Heading3"/>
      </w:pPr>
      <w:r>
        <w:t>Airway Malacia: Diagnosis and Evaluation</w:t>
      </w:r>
    </w:p>
    <w:p>
      <w:r>
        <w:t xml:space="preserve">The "gold standard" for diagnosing airway malacia (dynamic collapse of the airway) is </w:t>
      </w:r>
      <w:r>
        <w:rPr>
          <w:b/>
        </w:rPr>
        <w:t>direct visualization</w:t>
      </w:r>
      <w:r>
        <w:t xml:space="preserve"> during the respiratory cycle. Static imaging (X-ray/CT) is insufficient.</w:t>
      </w:r>
    </w:p>
    <w:p>
      <w:r>
        <w:t xml:space="preserve">*   </w:t>
      </w:r>
      <w:r>
        <w:rPr>
          <w:b/>
        </w:rPr>
        <w:t>Laryngomalacia:</w:t>
      </w:r>
      <w:r/>
    </w:p>
    <w:p>
      <w:r>
        <w:t>*   *Presentation:* Inspiratory stridor that worsens when the infant is active or supine and improves when asleep.</w:t>
      </w:r>
    </w:p>
    <w:p>
      <w:r>
        <w:t xml:space="preserve">*   *Investigation:* </w:t>
      </w:r>
      <w:r>
        <w:rPr>
          <w:b/>
        </w:rPr>
        <w:t>Flexible nasal endoscopy</w:t>
      </w:r>
      <w:r>
        <w:t xml:space="preserve"> in an awake patient to observe supraglottic collapse.</w:t>
      </w:r>
    </w:p>
    <w:p>
      <w:r>
        <w:t xml:space="preserve">*   </w:t>
      </w:r>
      <w:r>
        <w:rPr>
          <w:b/>
        </w:rPr>
        <w:t>Tracheo/Bronchomalacia:</w:t>
      </w:r>
      <w:r/>
    </w:p>
    <w:p>
      <w:r>
        <w:t xml:space="preserve">*   *Investigation:* </w:t>
      </w:r>
      <w:r>
        <w:rPr>
          <w:b/>
        </w:rPr>
        <w:t>Rigid bronchoscopy</w:t>
      </w:r>
      <w:r>
        <w:t xml:space="preserve"> (usually under general anaesthesia) is required to evaluate the lower airway dynamics.</w:t>
      </w:r>
    </w:p>
    <w:p>
      <w:r>
        <w:t>---</w:t>
      </w:r>
    </w:p>
    <w:p>
      <w:pPr>
        <w:pStyle w:val="Heading2"/>
      </w:pPr>
      <w:r>
        <w:t>2. Gastrointestinal and Surgical Emergencies</w:t>
      </w:r>
    </w:p>
    <w:p>
      <w:pPr>
        <w:pStyle w:val="Heading3"/>
      </w:pPr>
      <w:r>
        <w:t>Intestinal Obstruction in Neonates and Infants</w:t>
      </w:r>
    </w:p>
    <w:p>
      <w:r>
        <w:t xml:space="preserve">*   </w:t>
      </w:r>
      <w:r>
        <w:rPr>
          <w:b/>
        </w:rPr>
        <w:t>Bilious Vomiting:</w:t>
      </w:r>
      <w:r>
        <w:t xml:space="preserve"> A critical </w:t>
      </w:r>
      <w:r>
        <w:rPr>
          <w:b/>
        </w:rPr>
        <w:t>red flag</w:t>
      </w:r>
      <w:r>
        <w:t xml:space="preserve"> indicating obstruction distal to the ampulla of Vater. Immediate surgical consultation is required.</w:t>
      </w:r>
    </w:p>
    <w:p>
      <w:r>
        <w:t xml:space="preserve">*   </w:t>
      </w:r>
      <w:r>
        <w:rPr>
          <w:b/>
        </w:rPr>
        <w:t>Duodenal Atresia:</w:t>
      </w:r>
      <w:r/>
    </w:p>
    <w:p>
      <w:r>
        <w:t xml:space="preserve">*   *Radiology:* Classic </w:t>
      </w:r>
      <w:r>
        <w:rPr>
          <w:b/>
        </w:rPr>
        <w:t>"double bubble" sign</w:t>
      </w:r>
      <w:r>
        <w:t xml:space="preserve"> (dilated stomach and duodenum) with no distal gas.</w:t>
      </w:r>
    </w:p>
    <w:p>
      <w:r>
        <w:t xml:space="preserve">*   *Clinical:* Usually presents </w:t>
      </w:r>
      <w:r>
        <w:rPr>
          <w:b/>
        </w:rPr>
        <w:t>without</w:t>
      </w:r>
      <w:r>
        <w:t xml:space="preserve"> significant abdominal distension.</w:t>
      </w:r>
    </w:p>
    <w:p>
      <w:r>
        <w:t xml:space="preserve">*   </w:t>
      </w:r>
      <w:r>
        <w:rPr>
          <w:b/>
        </w:rPr>
        <w:t>Jejunal/Ileal Atresia:</w:t>
      </w:r>
      <w:r>
        <w:t xml:space="preserve"> Presents </w:t>
      </w:r>
      <w:r>
        <w:rPr>
          <w:b/>
        </w:rPr>
        <w:t>with</w:t>
      </w:r>
      <w:r>
        <w:t xml:space="preserve"> significant abdominal distension due to proximal bowel dilation.</w:t>
      </w:r>
    </w:p>
    <w:p>
      <w:r>
        <w:t xml:space="preserve">*   </w:t>
      </w:r>
      <w:r>
        <w:rPr>
          <w:b/>
        </w:rPr>
        <w:t>Initial Imaging:</w:t>
      </w:r>
      <w:r/>
    </w:p>
    <w:p>
      <w:r>
        <w:t xml:space="preserve">*   </w:t>
      </w:r>
      <w:r>
        <w:rPr>
          <w:b/>
        </w:rPr>
        <w:t>Neonates:</w:t>
      </w:r>
      <w:r>
        <w:t xml:space="preserve"> Abdominal X-ray (supine and erect/decubitus).</w:t>
      </w:r>
    </w:p>
    <w:p>
      <w:r>
        <w:t xml:space="preserve">*   </w:t>
      </w:r>
      <w:r>
        <w:rPr>
          <w:b/>
        </w:rPr>
        <w:t>Older Children:</w:t>
      </w:r>
      <w:r>
        <w:t xml:space="preserve"> Ultrasound is often preferred to assess for intussusception or malrotation.</w:t>
      </w:r>
    </w:p>
    <w:p>
      <w:pPr>
        <w:pStyle w:val="Heading3"/>
      </w:pPr>
      <w:r>
        <w:t>Intussusception</w:t>
      </w:r>
    </w:p>
    <w:p>
      <w:r>
        <w:t xml:space="preserve">*   </w:t>
      </w:r>
      <w:r>
        <w:rPr>
          <w:b/>
        </w:rPr>
        <w:t>Classic Triad:</w:t>
      </w:r>
      <w:r>
        <w:t xml:space="preserve"> Intermittent colicky pain, "red currant jelly" stool, and a palpable "sausage-shaped" mass.</w:t>
      </w:r>
    </w:p>
    <w:p>
      <w:r>
        <w:t xml:space="preserve">*   </w:t>
      </w:r>
      <w:r>
        <w:rPr>
          <w:b/>
        </w:rPr>
        <w:t>Diagnosis and Management:</w:t>
      </w:r>
      <w:r>
        <w:t xml:space="preserve"> </w:t>
      </w:r>
      <w:r>
        <w:rPr>
          <w:b/>
        </w:rPr>
        <w:t>Air contrast enema</w:t>
      </w:r>
      <w:r>
        <w:t xml:space="preserve"> (under fluoroscopy) is the investigation of choice. It serves as both:</w:t>
      </w:r>
    </w:p>
    <w:p>
      <w:r>
        <w:t xml:space="preserve">1.  </w:t>
      </w:r>
      <w:r>
        <w:rPr>
          <w:b/>
        </w:rPr>
        <w:t>Diagnostic Tool:</w:t>
      </w:r>
      <w:r>
        <w:t xml:space="preserve"> Visualizes the "coiled spring" sign.</w:t>
      </w:r>
    </w:p>
    <w:p>
      <w:r>
        <w:t xml:space="preserve">2.  </w:t>
      </w:r>
      <w:r>
        <w:rPr>
          <w:b/>
        </w:rPr>
        <w:t>Therapeutic Intervention:</w:t>
      </w:r>
      <w:r>
        <w:t xml:space="preserve"> Uses pneumatic pressure to reduce the intussusception, often avoiding surgery.</w:t>
      </w:r>
    </w:p>
    <w:p>
      <w:pPr>
        <w:pStyle w:val="Heading3"/>
      </w:pPr>
      <w:r>
        <w:t>Functional GI Disorders</w:t>
      </w:r>
    </w:p>
    <w:p>
      <w:r>
        <w:t xml:space="preserve">*   </w:t>
      </w:r>
      <w:r>
        <w:rPr>
          <w:b/>
        </w:rPr>
        <w:t>Encopresis (Overflow Incontinence):</w:t>
      </w:r>
      <w:r>
        <w:t xml:space="preserve"> Chronic constipation leads to fecal impaction and rectal distension. Liquid stool leaks around the hard mass, presenting as involuntary soiling.</w:t>
      </w:r>
    </w:p>
    <w:p>
      <w:r>
        <w:t xml:space="preserve">*   </w:t>
      </w:r>
      <w:r>
        <w:rPr>
          <w:b/>
        </w:rPr>
        <w:t>Abdominal Migraine:</w:t>
      </w:r>
      <w:r>
        <w:t xml:space="preserve"> Characterized by recurrent, episodic, midline abdominal pain with symptom-free intervals. Often associated with a personal or family history of migraine headaches.</w:t>
      </w:r>
    </w:p>
    <w:p>
      <w:r>
        <w:t>---</w:t>
      </w:r>
    </w:p>
    <w:p>
      <w:pPr>
        <w:pStyle w:val="Heading2"/>
      </w:pPr>
      <w:r>
        <w:t>3. Paediatric Orthopaedics</w:t>
      </w:r>
    </w:p>
    <w:p>
      <w:pPr>
        <w:pStyle w:val="Heading3"/>
      </w:pPr>
      <w:r>
        <w:t>Discitis in Toddlers</w:t>
      </w:r>
    </w:p>
    <w:p>
      <w:r>
        <w:t xml:space="preserve">Discitis should be a top differential for a toddler who suddenly </w:t>
      </w:r>
      <w:r>
        <w:rPr>
          <w:b/>
        </w:rPr>
        <w:t>refuses to walk or sit</w:t>
      </w:r>
      <w:r>
        <w:t>.</w:t>
      </w:r>
    </w:p>
    <w:p>
      <w:r>
        <w:t xml:space="preserve">*   </w:t>
      </w:r>
      <w:r>
        <w:rPr>
          <w:b/>
        </w:rPr>
        <w:t>Mechanism:</w:t>
      </w:r>
      <w:r>
        <w:t xml:space="preserve"> Hematogenous spread of *Staphylococcus aureus* to the well-vascularized intervertebral discs of young children.</w:t>
      </w:r>
    </w:p>
    <w:p>
      <w:r>
        <w:t xml:space="preserve">*   </w:t>
      </w:r>
      <w:r>
        <w:rPr>
          <w:b/>
        </w:rPr>
        <w:t>Classic Triad:</w:t>
      </w:r>
      <w:r>
        <w:t xml:space="preserve"> (1) Refusal to walk/sit, (2) Irritability, (3) Focal back tenderness.</w:t>
      </w:r>
    </w:p>
    <w:p>
      <w:r>
        <w:t xml:space="preserve">*   </w:t>
      </w:r>
      <w:r>
        <w:rPr>
          <w:b/>
        </w:rPr>
        <w:t>Diagnosis:</w:t>
      </w:r>
      <w:r>
        <w:t xml:space="preserve"> Elevated inflammatory markers (ESR/CRP) and </w:t>
      </w:r>
      <w:r>
        <w:rPr>
          <w:b/>
        </w:rPr>
        <w:t>MRI</w:t>
      </w:r>
      <w:r>
        <w:t xml:space="preserve"> (imaging of choice).</w:t>
      </w:r>
    </w:p>
    <w:p>
      <w:r>
        <w:t xml:space="preserve">*   </w:t>
      </w:r>
      <w:r>
        <w:rPr>
          <w:b/>
        </w:rPr>
        <w:t>Treatment:</w:t>
      </w:r>
      <w:r>
        <w:t xml:space="preserve"> Long-term antibiotics (IV followed by oral) for 4–6 weeks.</w:t>
      </w:r>
    </w:p>
    <w:p>
      <w:r>
        <w:t>---</w:t>
      </w:r>
    </w:p>
    <w:p>
      <w:pPr>
        <w:pStyle w:val="Heading2"/>
      </w:pPr>
      <w:r>
        <w:t>4. Communication and General Management</w:t>
      </w:r>
    </w:p>
    <w:p>
      <w:pPr>
        <w:pStyle w:val="Heading3"/>
      </w:pPr>
      <w:r>
        <w:t>Principles of Reassurance</w:t>
      </w:r>
    </w:p>
    <w:p>
      <w:r>
        <w:t>Reassurance is an active clinical skill used for benign conditions (e.g., transient synovitis, viral exanthems, innocent murmurs).</w:t>
      </w:r>
    </w:p>
    <w:p>
      <w:r>
        <w:t xml:space="preserve">1.  </w:t>
      </w:r>
      <w:r>
        <w:rPr>
          <w:b/>
        </w:rPr>
        <w:t>Acknowledge:</w:t>
      </w:r>
      <w:r>
        <w:t xml:space="preserve"> Validate the parents' anxiety first.</w:t>
      </w:r>
    </w:p>
    <w:p>
      <w:r>
        <w:t xml:space="preserve">2.  </w:t>
      </w:r>
      <w:r>
        <w:rPr>
          <w:b/>
        </w:rPr>
        <w:t>Explain:</w:t>
      </w:r>
      <w:r>
        <w:t xml:space="preserve"> Use non-medical language to describe the condition's natural history.</w:t>
      </w:r>
    </w:p>
    <w:p>
      <w:r>
        <w:t xml:space="preserve">3.  </w:t>
      </w:r>
      <w:r>
        <w:rPr>
          <w:b/>
        </w:rPr>
        <w:t>Safety Net:</w:t>
      </w:r>
      <w:r>
        <w:t xml:space="preserve"> Provide specific "red flags" (e.g., high fever, lethargy) that necessitate a return to the clinic.</w:t>
      </w:r>
    </w:p>
    <w:p>
      <w:pPr>
        <w:pStyle w:val="Heading3"/>
      </w:pPr>
      <w:r>
        <w:t>Acute Asthma Management</w:t>
      </w:r>
    </w:p>
    <w:p>
      <w:r>
        <w:t>In acute exacerbations—particularly those involving recurrent cough and vomiting—</w:t>
      </w:r>
      <w:r>
        <w:rPr>
          <w:b/>
        </w:rPr>
        <w:t>oral prednisolone</w:t>
      </w:r>
      <w:r>
        <w:t xml:space="preserve"> is the mainstay for reducing airway inflammation and preventing hospital admission.</w:t>
      </w:r>
    </w:p>
    <w:p>
      <w:r>
        <w:t>---</w:t>
      </w:r>
    </w:p>
    <w:p>
      <w:pPr>
        <w:pStyle w:val="Heading2"/>
      </w:pPr>
      <w:r>
        <w:t>5. High-Yield Multi-Disciplinary Points (AMC Essentials)</w:t>
      </w:r>
    </w:p>
    <w:p>
      <w:r>
        <w:t>| Condition | Key Diagnostic/Management Pearl |</w:t>
      </w:r>
    </w:p>
    <w:p>
      <w:r>
        <w:t>| :--- | :--- |</w:t>
      </w:r>
    </w:p>
    <w:p>
      <w:r>
        <w:t xml:space="preserve">| </w:t>
      </w:r>
      <w:r>
        <w:rPr>
          <w:b/>
        </w:rPr>
        <w:t>SVT</w:t>
      </w:r>
      <w:r>
        <w:t xml:space="preserve"> | First-line: Vagal maneuvers. Second-line: Adenosine (if maneuvers fail for &gt;30 mins). |</w:t>
      </w:r>
    </w:p>
    <w:p>
      <w:r>
        <w:t xml:space="preserve">| </w:t>
      </w:r>
      <w:r>
        <w:rPr>
          <w:b/>
        </w:rPr>
        <w:t>Massive Hemothorax</w:t>
      </w:r>
      <w:r>
        <w:t xml:space="preserve"> | Immediate drainage of </w:t>
      </w:r>
      <w:r>
        <w:rPr>
          <w:b/>
        </w:rPr>
        <w:t>&gt;1500 mL</w:t>
      </w:r>
      <w:r>
        <w:t xml:space="preserve"> of blood requires urgent thoracotomy. |</w:t>
      </w:r>
    </w:p>
    <w:p>
      <w:r>
        <w:t xml:space="preserve">| </w:t>
      </w:r>
      <w:r>
        <w:rPr>
          <w:b/>
        </w:rPr>
        <w:t>Obstructed Labour</w:t>
      </w:r>
      <w:r>
        <w:t xml:space="preserve"> | Failure of descent (e.g., station -1) after 8 hours of adequate labour requires a </w:t>
      </w:r>
      <w:r>
        <w:rPr>
          <w:b/>
        </w:rPr>
        <w:t>Caesarean section</w:t>
      </w:r>
      <w:r>
        <w:t>. |</w:t>
      </w:r>
    </w:p>
    <w:p>
      <w:r>
        <w:t xml:space="preserve">| </w:t>
      </w:r>
      <w:r>
        <w:rPr>
          <w:b/>
        </w:rPr>
        <w:t>AAA Surveillance</w:t>
      </w:r>
      <w:r>
        <w:t xml:space="preserve"> | Surgery indicated if </w:t>
      </w:r>
      <w:r>
        <w:rPr>
          <w:b/>
        </w:rPr>
        <w:t>≥5.5 cm</w:t>
      </w:r>
      <w:r>
        <w:t xml:space="preserve"> (men) or rapid growth (&gt;0.5 cm in 6 months). A 2mm increase in 1 year only warrants continued routine monitoring. |</w:t>
      </w:r>
    </w:p>
    <w:p>
      <w:r>
        <w:t xml:space="preserve">| </w:t>
      </w:r>
      <w:r>
        <w:rPr>
          <w:b/>
        </w:rPr>
        <w:t>Medical Consent</w:t>
      </w:r>
      <w:r>
        <w:t xml:space="preserve"> | If a patient lacks capacity and family refuses treatment, check for an </w:t>
      </w:r>
      <w:r>
        <w:rPr>
          <w:b/>
        </w:rPr>
        <w:t>Advance Care Directive</w:t>
      </w:r>
      <w:r>
        <w:t xml:space="preserve"> before involving substitute decision-makers. |</w:t>
      </w:r>
    </w:p>
    <w:p>
      <w:r>
        <w:t xml:space="preserve">| </w:t>
      </w:r>
      <w:r>
        <w:rPr>
          <w:b/>
        </w:rPr>
        <w:t>Gallstones in Pregnancy</w:t>
      </w:r>
      <w:r>
        <w:t xml:space="preserve"> | Delaying surgery increases the risk of </w:t>
      </w:r>
      <w:r>
        <w:rPr>
          <w:b/>
        </w:rPr>
        <w:t>cholecystitis and pancreatitis</w:t>
      </w:r>
      <w:r>
        <w:t>, not intrahepatic cholestasis. |</w:t>
      </w:r>
    </w:p>
    <w:p>
      <w:r>
        <w:t xml:space="preserve">| </w:t>
      </w:r>
      <w:r>
        <w:rPr>
          <w:b/>
        </w:rPr>
        <w:t>Quetiapine</w:t>
      </w:r>
      <w:r>
        <w:t xml:space="preserve"> | An atypical antipsychotic used for acute agitation or "volcanic" psychotic symptoms. |</w:t>
      </w:r>
    </w:p>
    <w:p>
      <w:pPr>
        <w:pStyle w:val="Heading1"/>
      </w:pPr>
      <w:r>
        <w:t>Pharmacology</w:t>
      </w:r>
    </w:p>
    <w:p>
      <w:pPr>
        <w:pStyle w:val="Heading1"/>
      </w:pPr>
      <w:r>
        <w:t>Corticosteroids &amp; NSAIDs: Key Clinical Uses and Considerations</w:t>
      </w:r>
    </w:p>
    <w:p>
      <w:pPr>
        <w:pStyle w:val="Heading2"/>
      </w:pPr>
      <w:r>
        <w:t>**Corticosteroids**</w:t>
      </w:r>
    </w:p>
    <w:p>
      <w:r>
        <w:t xml:space="preserve">Corticosteroids (e.g., prednisolone, hydrocortisone, dexamethasone) are potent </w:t>
      </w:r>
      <w:r>
        <w:rPr>
          <w:b/>
        </w:rPr>
        <w:t>anti-inflammatory and immunosuppressive agents</w:t>
      </w:r>
      <w:r>
        <w:t>.</w:t>
      </w:r>
    </w:p>
    <w:p>
      <w:pPr>
        <w:pStyle w:val="Heading3"/>
      </w:pPr>
      <w:r>
        <w:t>**Key Clinical Indications (AMC High-Yield)**</w:t>
      </w:r>
    </w:p>
    <w:p>
      <w:r>
        <w:t xml:space="preserve">*   </w:t>
      </w:r>
      <w:r>
        <w:rPr>
          <w:b/>
        </w:rPr>
        <w:t>Respiratory:</w:t>
      </w:r>
      <w:r>
        <w:t xml:space="preserve"> Acute asthma exacerbation, COPD exacerbation, croup.</w:t>
      </w:r>
    </w:p>
    <w:p>
      <w:r>
        <w:t xml:space="preserve">*   </w:t>
      </w:r>
      <w:r>
        <w:rPr>
          <w:b/>
        </w:rPr>
        <w:t>Rheumatology/Immunology:</w:t>
      </w:r>
      <w:r>
        <w:t xml:space="preserve"> Rheumatoid arthritis, systemic lupus erythematosus, polymyalgia rheumatica, giant cell arteritis.</w:t>
      </w:r>
    </w:p>
    <w:p>
      <w:r>
        <w:t xml:space="preserve">*   </w:t>
      </w:r>
      <w:r>
        <w:rPr>
          <w:b/>
        </w:rPr>
        <w:t>Endocrine:</w:t>
      </w:r>
      <w:r>
        <w:t xml:space="preserve"> Adrenal insufficiency (replacement therapy).</w:t>
      </w:r>
    </w:p>
    <w:p>
      <w:r>
        <w:t xml:space="preserve">*   </w:t>
      </w:r>
      <w:r>
        <w:rPr>
          <w:b/>
        </w:rPr>
        <w:t>Dermatology:</w:t>
      </w:r>
      <w:r>
        <w:t xml:space="preserve"> Severe eczema, pemphigus vulgaris.</w:t>
      </w:r>
    </w:p>
    <w:p>
      <w:r>
        <w:t xml:space="preserve">*   </w:t>
      </w:r>
      <w:r>
        <w:rPr>
          <w:b/>
        </w:rPr>
        <w:t>Neurology:</w:t>
      </w:r>
      <w:r>
        <w:t xml:space="preserve"> Acute exacerbations of multiple sclerosis.</w:t>
      </w:r>
    </w:p>
    <w:p>
      <w:r>
        <w:t xml:space="preserve">*   </w:t>
      </w:r>
      <w:r>
        <w:rPr>
          <w:b/>
        </w:rPr>
        <w:t>Oncology:</w:t>
      </w:r>
      <w:r>
        <w:t xml:space="preserve"> Component of chemotherapy regimens; management of raised intracranial pressure from brain tumours.</w:t>
      </w:r>
    </w:p>
    <w:p>
      <w:pPr>
        <w:pStyle w:val="Heading3"/>
      </w:pPr>
      <w:r>
        <w:t>**Major Side Effects &amp; Risks**</w:t>
      </w:r>
    </w:p>
    <w:p>
      <w:r>
        <w:t xml:space="preserve">*   </w:t>
      </w:r>
      <w:r>
        <w:rPr>
          <w:b/>
        </w:rPr>
        <w:t>Metabolic:</w:t>
      </w:r>
      <w:r>
        <w:t xml:space="preserve"> Hyperglycaemia, Cushing's syndrome.</w:t>
      </w:r>
    </w:p>
    <w:p>
      <w:r>
        <w:t xml:space="preserve">*   </w:t>
      </w:r>
      <w:r>
        <w:rPr>
          <w:b/>
        </w:rPr>
        <w:t>Musculoskeletal:</w:t>
      </w:r>
      <w:r>
        <w:t xml:space="preserve"> Osteoporosis, avascular necrosis (especially femoral head).</w:t>
      </w:r>
    </w:p>
    <w:p>
      <w:r>
        <w:t xml:space="preserve">*   </w:t>
      </w:r>
      <w:r>
        <w:rPr>
          <w:b/>
        </w:rPr>
        <w:t>Immunological:</w:t>
      </w:r>
      <w:r>
        <w:t xml:space="preserve"> Immunosuppression (increased infection risk).</w:t>
      </w:r>
    </w:p>
    <w:p>
      <w:r>
        <w:t xml:space="preserve">*   </w:t>
      </w:r>
      <w:r>
        <w:rPr>
          <w:b/>
        </w:rPr>
        <w:t>Endocrine:</w:t>
      </w:r>
      <w:r>
        <w:t xml:space="preserve"> Adrenal suppression (requires tapering for courses &gt;2-3 weeks).</w:t>
      </w:r>
    </w:p>
    <w:p>
      <w:r>
        <w:t xml:space="preserve">*   </w:t>
      </w:r>
      <w:r>
        <w:rPr>
          <w:b/>
        </w:rPr>
        <w:t>Gastrointestinal:</w:t>
      </w:r>
      <w:r>
        <w:t xml:space="preserve"> Peptic ulcer disease (consider PPI co-prescription).</w:t>
      </w:r>
    </w:p>
    <w:p>
      <w:r>
        <w:t>---</w:t>
      </w:r>
    </w:p>
    <w:p>
      <w:pPr>
        <w:pStyle w:val="Heading2"/>
      </w:pPr>
      <w:r>
        <w:t>**NSAIDs (Non-Steroidal Anti-Inflammatory Drugs)**</w:t>
      </w:r>
    </w:p>
    <w:p>
      <w:r>
        <w:t xml:space="preserve">NSAIDs provide </w:t>
      </w:r>
      <w:r>
        <w:rPr>
          <w:b/>
        </w:rPr>
        <w:t>analgesic, anti-inflammatory, and antipyretic</w:t>
      </w:r>
      <w:r>
        <w:t xml:space="preserve"> effects by inhibiting cyclooxygenase (COX) enzymes, reducing prostaglandin synthesis.</w:t>
      </w:r>
    </w:p>
    <w:p>
      <w:pPr>
        <w:pStyle w:val="Heading3"/>
      </w:pPr>
      <w:r>
        <w:t>**Key Clinical Points for AMC**</w:t>
      </w:r>
    </w:p>
    <w:p>
      <w:r>
        <w:t xml:space="preserve">*   </w:t>
      </w:r>
      <w:r>
        <w:rPr>
          <w:b/>
        </w:rPr>
        <w:t>Common Examples:</w:t>
      </w:r>
      <w:r>
        <w:t xml:space="preserve"> Ibuprofen, naproxen, diclofenac, celecoxib (COX-2 selective).</w:t>
      </w:r>
    </w:p>
    <w:p>
      <w:r>
        <w:t xml:space="preserve">*   </w:t>
      </w:r>
      <w:r>
        <w:rPr>
          <w:b/>
        </w:rPr>
        <w:t>Primary Indications:</w:t>
      </w:r>
      <w:r>
        <w:t xml:space="preserve"> Mild-moderate pain, inflammatory conditions (e.g., osteoarthritis, rheumatoid arthritis), fever, dysmenorrhea.</w:t>
      </w:r>
    </w:p>
    <w:p>
      <w:pPr>
        <w:pStyle w:val="Heading3"/>
      </w:pPr>
      <w:r>
        <w:t>**Major Risks &amp; Adverse Effects**</w:t>
      </w:r>
    </w:p>
    <w:p>
      <w:r>
        <w:t xml:space="preserve">*   </w:t>
      </w:r>
      <w:r>
        <w:rPr>
          <w:b/>
        </w:rPr>
        <w:t>Gastrointestinal:</w:t>
      </w:r>
      <w:r>
        <w:t xml:space="preserve"> Ulceration and bleeding (use PPI prophylaxis in high-risk patients).</w:t>
      </w:r>
    </w:p>
    <w:p>
      <w:r>
        <w:t xml:space="preserve">*   </w:t>
      </w:r>
      <w:r>
        <w:rPr>
          <w:b/>
        </w:rPr>
        <w:t>Renal:</w:t>
      </w:r>
      <w:r>
        <w:t xml:space="preserve"> Acute kidney injury, fluid retention, exacerbation of chronic renal impairment.</w:t>
      </w:r>
    </w:p>
    <w:p>
      <w:r>
        <w:t xml:space="preserve">*   </w:t>
      </w:r>
      <w:r>
        <w:rPr>
          <w:b/>
        </w:rPr>
        <w:t>Cardiovascular:</w:t>
      </w:r>
      <w:r>
        <w:t xml:space="preserve"> Increased risk of myocardial infarction and stroke (especially with prolonged use); exacerbation of hypertension and heart failure.</w:t>
      </w:r>
    </w:p>
    <w:p>
      <w:r>
        <w:t xml:space="preserve">*   </w:t>
      </w:r>
      <w:r>
        <w:rPr>
          <w:b/>
        </w:rPr>
        <w:t>Other:</w:t>
      </w:r>
      <w:r>
        <w:t xml:space="preserve"> Bronchospasm in aspirin-exacerbated respiratory disease (AERD).</w:t>
      </w:r>
    </w:p>
    <w:p>
      <w:pPr>
        <w:pStyle w:val="Heading3"/>
      </w:pPr>
      <w:r>
        <w:t>**Contraindications &amp; Cautions**</w:t>
      </w:r>
    </w:p>
    <w:p>
      <w:r>
        <w:t xml:space="preserve">*   </w:t>
      </w:r>
      <w:r>
        <w:rPr>
          <w:b/>
        </w:rPr>
        <w:t>Absolute Contraindications:</w:t>
      </w:r>
      <w:r>
        <w:t xml:space="preserve"> Active peptic ulcer disease, severe renal impairment.</w:t>
      </w:r>
    </w:p>
    <w:p>
      <w:r>
        <w:t xml:space="preserve">*   </w:t>
      </w:r>
      <w:r>
        <w:rPr>
          <w:b/>
        </w:rPr>
        <w:t>Major Cautions:</w:t>
      </w:r>
      <w:r>
        <w:t xml:space="preserve"> Heart failure, hypertension, third-trimester pregnancy (risk of premature ductus arteriosus closure).</w:t>
      </w:r>
    </w:p>
    <w:p>
      <w:r>
        <w:t xml:space="preserve">*   </w:t>
      </w:r>
      <w:r>
        <w:rPr>
          <w:b/>
        </w:rPr>
        <w:t>Australian Practice Context:</w:t>
      </w:r>
      <w:r>
        <w:t xml:space="preserve"> Adhere to PBS restrictions and </w:t>
      </w:r>
      <w:r>
        <w:rPr>
          <w:b/>
        </w:rPr>
        <w:t>Choosing Wisely</w:t>
      </w:r>
      <w:r>
        <w:t xml:space="preserve"> recommendations. </w:t>
      </w:r>
      <w:r>
        <w:rPr>
          <w:b/>
        </w:rPr>
        <w:t>Paracetamol is first-line for simple analgesia</w:t>
      </w:r>
      <w:r>
        <w:t>; NSAIDs should be used at the lowest effective dose for the shortest duration.</w:t>
      </w:r>
    </w:p>
    <w:p>
      <w:pPr>
        <w:pStyle w:val="Heading1"/>
      </w:pPr>
      <w:r>
        <w:t>Psychiatry</w:t>
      </w:r>
    </w:p>
    <w:p>
      <w:pPr>
        <w:pStyle w:val="Heading1"/>
      </w:pPr>
      <w:r>
        <w:t>Clinical Psychiatry: High-Yield Review for the AMC Examination</w:t>
      </w:r>
    </w:p>
    <w:p>
      <w:pPr>
        <w:pStyle w:val="Heading2"/>
      </w:pPr>
      <w:r>
        <w:t>1. Geriatric Pharmacology and Safety</w:t>
      </w:r>
    </w:p>
    <w:p>
      <w:pPr>
        <w:pStyle w:val="Heading3"/>
      </w:pPr>
      <w:r>
        <w:t>Benzodiazepines in the Elderly</w:t>
      </w:r>
    </w:p>
    <w:p>
      <w:r>
        <w:t xml:space="preserve">The use of benzodiazepines (e.g., diazepam, temazepam, oxazepam) in older populations is strongly discouraged under the </w:t>
      </w:r>
      <w:r>
        <w:rPr>
          <w:b/>
        </w:rPr>
        <w:t>Beers Criteria</w:t>
      </w:r>
      <w:r>
        <w:t xml:space="preserve"> for potentially inappropriate medication use.</w:t>
      </w:r>
    </w:p>
    <w:p>
      <w:r>
        <w:t xml:space="preserve">*   </w:t>
      </w:r>
      <w:r>
        <w:rPr>
          <w:b/>
        </w:rPr>
        <w:t>Risks:</w:t>
      </w:r>
      <w:r>
        <w:t xml:space="preserve"> Significant increase in falls, hip fractures, cognitive impairment, and delirium due to reduced clearance and heightened sensitivity in the aging brain.</w:t>
      </w:r>
    </w:p>
    <w:p>
      <w:r>
        <w:t xml:space="preserve">*   </w:t>
      </w:r>
      <w:r>
        <w:rPr>
          <w:b/>
        </w:rPr>
        <w:t>Clinical Pearl:</w:t>
      </w:r>
      <w:r>
        <w:t xml:space="preserve"> Always prioritize non-pharmacological sleep hygiene or safer alternatives (e.g., </w:t>
      </w:r>
      <w:r>
        <w:rPr>
          <w:b/>
        </w:rPr>
        <w:t>melatonin</w:t>
      </w:r>
      <w:r>
        <w:t xml:space="preserve"> for insomnia or </w:t>
      </w:r>
      <w:r>
        <w:rPr>
          <w:b/>
        </w:rPr>
        <w:t>SSRIs</w:t>
      </w:r>
      <w:r>
        <w:t xml:space="preserve"> for anxiety).</w:t>
      </w:r>
    </w:p>
    <w:p>
      <w:pPr>
        <w:pStyle w:val="Heading3"/>
      </w:pPr>
      <w:r>
        <w:t>Management of Acute Delirium and Agitation</w:t>
      </w:r>
    </w:p>
    <w:p>
      <w:r>
        <w:t>Pharmacological intervention is reserved for severe agitation or psychosis that poses an immediate risk to the patient or staff, and only after non-pharmacological strategies fail.</w:t>
      </w:r>
    </w:p>
    <w:p>
      <w:r>
        <w:t xml:space="preserve">*   </w:t>
      </w:r>
      <w:r>
        <w:rPr>
          <w:b/>
        </w:rPr>
        <w:t>Primary Goal:</w:t>
      </w:r>
      <w:r>
        <w:t xml:space="preserve"> Identify and treat the </w:t>
      </w:r>
      <w:r>
        <w:rPr>
          <w:b/>
        </w:rPr>
        <w:t>underlying cause</w:t>
      </w:r>
      <w:r>
        <w:t xml:space="preserve"> (e.g., UTI, electrolyte imbalance, hypoxia).</w:t>
      </w:r>
    </w:p>
    <w:p>
      <w:r>
        <w:t xml:space="preserve">*   </w:t>
      </w:r>
      <w:r>
        <w:rPr>
          <w:b/>
        </w:rPr>
        <w:t>Pharmacotherapy:</w:t>
      </w:r>
      <w:r/>
    </w:p>
    <w:p>
      <w:r>
        <w:t xml:space="preserve">*   </w:t>
      </w:r>
      <w:r>
        <w:rPr>
          <w:b/>
        </w:rPr>
        <w:t>Haloperidol:</w:t>
      </w:r>
      <w:r>
        <w:t xml:space="preserve"> Often first-line in hospital settings due to availability in IM/IV formulations and rapid onset.</w:t>
      </w:r>
    </w:p>
    <w:p>
      <w:r>
        <w:t xml:space="preserve">*   </w:t>
      </w:r>
      <w:r>
        <w:rPr>
          <w:b/>
        </w:rPr>
        <w:t>Risperidone:</w:t>
      </w:r>
      <w:r>
        <w:t xml:space="preserve"> A second-generation alternative; preferred for longer-term management due to a lower extrapyramidal symptom (EPS) profile compared to haloperidol.</w:t>
      </w:r>
    </w:p>
    <w:p>
      <w:r>
        <w:t xml:space="preserve">*   </w:t>
      </w:r>
      <w:r>
        <w:rPr>
          <w:b/>
        </w:rPr>
        <w:t>Critical Contraindication:</w:t>
      </w:r>
      <w:r>
        <w:t xml:space="preserve"> </w:t>
      </w:r>
      <w:r>
        <w:rPr>
          <w:b/>
        </w:rPr>
        <w:t>Avoid all antipsychotics in Lewy Body Dementia and Parkinson’s Disease</w:t>
      </w:r>
      <w:r>
        <w:t xml:space="preserve"> due to extreme sensitivity to dopamine blockade (risk of severe EPS and neuroleptic malignant syndrome).</w:t>
      </w:r>
    </w:p>
    <w:p>
      <w:r>
        <w:t xml:space="preserve">*   </w:t>
      </w:r>
      <w:r>
        <w:rPr>
          <w:b/>
        </w:rPr>
        <w:t>Dosing:</w:t>
      </w:r>
      <w:r>
        <w:t xml:space="preserve"> Start with the "lowest effective dose" for the "shortest possible duration."</w:t>
      </w:r>
    </w:p>
    <w:p>
      <w:r>
        <w:t>---</w:t>
      </w:r>
    </w:p>
    <w:p>
      <w:pPr>
        <w:pStyle w:val="Heading2"/>
      </w:pPr>
      <w:r>
        <w:t>2. Psychopharmacology Principles</w:t>
      </w:r>
    </w:p>
    <w:p>
      <w:pPr>
        <w:pStyle w:val="Heading3"/>
      </w:pPr>
      <w:r>
        <w:t>Selective Serotonin Reuptake Inhibitors (SSRIs): Sertraline</w:t>
      </w:r>
    </w:p>
    <w:p>
      <w:r/>
      <w:r>
        <w:rPr>
          <w:b/>
        </w:rPr>
        <w:t>Sertraline</w:t>
      </w:r>
      <w:r>
        <w:t xml:space="preserve"> is frequently utilized as a first-line agent across various psychiatric conditions.</w:t>
      </w:r>
    </w:p>
    <w:p>
      <w:r>
        <w:t xml:space="preserve">*   </w:t>
      </w:r>
      <w:r>
        <w:rPr>
          <w:b/>
        </w:rPr>
        <w:t>Indications:</w:t>
      </w:r>
      <w:r>
        <w:t xml:space="preserve"> Major Depressive Disorder (MDD), GAD, Panic Disorder, OCD, and PTSD.</w:t>
      </w:r>
    </w:p>
    <w:p>
      <w:r>
        <w:t xml:space="preserve">*   </w:t>
      </w:r>
      <w:r>
        <w:rPr>
          <w:b/>
        </w:rPr>
        <w:t>Advantages:</w:t>
      </w:r>
      <w:r>
        <w:t xml:space="preserve"> Favourable side-effect profile and lower risk of cytochrome P450 drug interactions compared to fluoxetine or paroxetine.</w:t>
      </w:r>
    </w:p>
    <w:p>
      <w:r>
        <w:t xml:space="preserve">*   </w:t>
      </w:r>
      <w:r>
        <w:rPr>
          <w:b/>
        </w:rPr>
        <w:t>Titration:</w:t>
      </w:r>
      <w:r>
        <w:t xml:space="preserve"> Begin at a low dose (e.g., 25–50 mg) and titrate based on clinical response and tolerability.</w:t>
      </w:r>
    </w:p>
    <w:p>
      <w:pPr>
        <w:pStyle w:val="Heading3"/>
      </w:pPr>
      <w:r>
        <w:t>Antipsychotics: Acute vs. Maintenance</w:t>
      </w:r>
    </w:p>
    <w:p>
      <w:r>
        <w:t xml:space="preserve">*   </w:t>
      </w:r>
      <w:r>
        <w:rPr>
          <w:b/>
        </w:rPr>
        <w:t>Acute Agitation:</w:t>
      </w:r>
      <w:r>
        <w:t xml:space="preserve"> </w:t>
      </w:r>
      <w:r>
        <w:rPr>
          <w:b/>
        </w:rPr>
        <w:t>Haloperidol (IM)</w:t>
      </w:r>
      <w:r>
        <w:t xml:space="preserve"> is preferred for rapid tranquilization, often co-administered with a benzodiazepine (e.g., lorazepam).</w:t>
      </w:r>
    </w:p>
    <w:p>
      <w:r>
        <w:t xml:space="preserve">*   </w:t>
      </w:r>
      <w:r>
        <w:rPr>
          <w:b/>
        </w:rPr>
        <w:t>Long-term Maintenance:</w:t>
      </w:r>
      <w:r>
        <w:t xml:space="preserve"> Second-generation antipsychotics like </w:t>
      </w:r>
      <w:r>
        <w:rPr>
          <w:b/>
        </w:rPr>
        <w:t>Risperidone</w:t>
      </w:r>
      <w:r>
        <w:t xml:space="preserve"> are preferred to minimize the risk of tardive dyskinesia and other movement disorders. Note that long-acting injectables (LAIs) are strictly for maintenance, not acute stabilization.</w:t>
      </w:r>
    </w:p>
    <w:p>
      <w:r>
        <w:t>---</w:t>
      </w:r>
    </w:p>
    <w:p>
      <w:pPr>
        <w:pStyle w:val="Heading2"/>
      </w:pPr>
      <w:r>
        <w:t>3. Child and Adolescent Psychiatry</w:t>
      </w:r>
    </w:p>
    <w:p>
      <w:pPr>
        <w:pStyle w:val="Heading3"/>
      </w:pPr>
      <w:r>
        <w:t>Attention-Deficit/Hyperactivity Disorder (ADHD)</w:t>
      </w:r>
    </w:p>
    <w:p>
      <w:r>
        <w:t xml:space="preserve">Diagnosis requires a comprehensive assessment of symptoms across </w:t>
      </w:r>
      <w:r>
        <w:rPr>
          <w:b/>
        </w:rPr>
        <w:t>multiple settings</w:t>
      </w:r>
      <w:r>
        <w:t xml:space="preserve"> (home and school) using DSM-5 criteria.</w:t>
      </w:r>
    </w:p>
    <w:p>
      <w:r>
        <w:t xml:space="preserve">*   </w:t>
      </w:r>
      <w:r>
        <w:rPr>
          <w:b/>
        </w:rPr>
        <w:t>Management Hierarchy:</w:t>
      </w:r>
      <w:r/>
    </w:p>
    <w:p>
      <w:r>
        <w:t xml:space="preserve">1.  </w:t>
      </w:r>
      <w:r>
        <w:rPr>
          <w:b/>
        </w:rPr>
        <w:t>Non-Pharmacological (First-line for children):</w:t>
      </w:r>
      <w:r>
        <w:t xml:space="preserve"> Parent management training, school-based accommodations, and CBT for older patients.</w:t>
      </w:r>
    </w:p>
    <w:p>
      <w:r>
        <w:t xml:space="preserve">2.  </w:t>
      </w:r>
      <w:r>
        <w:rPr>
          <w:b/>
        </w:rPr>
        <w:t>Pharmacological (Moderate-to-severe):</w:t>
      </w:r>
      <w:r/>
    </w:p>
    <w:p>
      <w:r>
        <w:t xml:space="preserve">*   </w:t>
      </w:r>
      <w:r>
        <w:rPr>
          <w:b/>
        </w:rPr>
        <w:t>First-line:</w:t>
      </w:r>
      <w:r>
        <w:t xml:space="preserve"> Stimulants (Methylphenidate or Dexamfetamine).</w:t>
      </w:r>
    </w:p>
    <w:p>
      <w:r>
        <w:t xml:space="preserve">*   </w:t>
      </w:r>
      <w:r>
        <w:rPr>
          <w:b/>
        </w:rPr>
        <w:t>Second-line:</w:t>
      </w:r>
      <w:r>
        <w:t xml:space="preserve"> Non-stimulants (Atomoxetine or Guanfacine).</w:t>
      </w:r>
    </w:p>
    <w:p>
      <w:r>
        <w:t xml:space="preserve">*   </w:t>
      </w:r>
      <w:r>
        <w:rPr>
          <w:b/>
        </w:rPr>
        <w:t>Monitoring:</w:t>
      </w:r>
      <w:r>
        <w:t xml:space="preserve"> Clinicians must regularly track growth (height/weight), blood pressure, and heart rate in pediatric patients.</w:t>
      </w:r>
    </w:p>
    <w:p>
      <w:pPr>
        <w:pStyle w:val="Heading3"/>
      </w:pPr>
      <w:r>
        <w:t>Oppositional Defiant Disorder (ODD)</w:t>
      </w:r>
    </w:p>
    <w:p>
      <w:r>
        <w:t>Characterized by a persistent pattern (≥6 months) of irritable mood and defiant behavior toward non-sibling authority figures.</w:t>
      </w:r>
    </w:p>
    <w:p>
      <w:r>
        <w:t xml:space="preserve">*   </w:t>
      </w:r>
      <w:r>
        <w:rPr>
          <w:b/>
        </w:rPr>
        <w:t>Clinical Features:</w:t>
      </w:r>
      <w:r>
        <w:t xml:space="preserve"> Argumentative, vindictive, and loses temper easily.</w:t>
      </w:r>
    </w:p>
    <w:p>
      <w:r>
        <w:t xml:space="preserve">*   </w:t>
      </w:r>
      <w:r>
        <w:rPr>
          <w:b/>
        </w:rPr>
        <w:t>Differential Diagnosis:</w:t>
      </w:r>
      <w:r>
        <w:t xml:space="preserve"> Must be distinguished from </w:t>
      </w:r>
      <w:r>
        <w:rPr>
          <w:b/>
        </w:rPr>
        <w:t>Conduct Disorder</w:t>
      </w:r>
      <w:r>
        <w:t>, which involves more severe violations of the basic rights of others (e.g., cruelty to animals, theft).</w:t>
      </w:r>
    </w:p>
    <w:p>
      <w:r>
        <w:t xml:space="preserve">*   </w:t>
      </w:r>
      <w:r>
        <w:rPr>
          <w:b/>
        </w:rPr>
        <w:t>Management:</w:t>
      </w:r>
      <w:r>
        <w:t xml:space="preserve"> </w:t>
      </w:r>
      <w:r>
        <w:rPr>
          <w:b/>
        </w:rPr>
        <w:t>Parent Management Training (PMT)</w:t>
      </w:r>
      <w:r>
        <w:t xml:space="preserve"> is the gold-standard first-line intervention. Comorbidity with ADHD is high (~50%).</w:t>
      </w:r>
    </w:p>
    <w:p>
      <w:r>
        <w:t>---</w:t>
      </w:r>
    </w:p>
    <w:p>
      <w:pPr>
        <w:pStyle w:val="Heading2"/>
      </w:pPr>
      <w:r>
        <w:t>4. Clinical Ethics and Therapeutic Techniques</w:t>
      </w:r>
    </w:p>
    <w:p>
      <w:pPr>
        <w:pStyle w:val="Heading3"/>
      </w:pPr>
      <w:r>
        <w:t>Use of Physical Restraints</w:t>
      </w:r>
    </w:p>
    <w:p>
      <w:r>
        <w:t>In the Australian medical context, physical restraint is a high-risk "last resort" intervention.</w:t>
      </w:r>
    </w:p>
    <w:p>
      <w:r>
        <w:t xml:space="preserve">*   </w:t>
      </w:r>
      <w:r>
        <w:rPr>
          <w:b/>
        </w:rPr>
        <w:t>Key Principles:</w:t>
      </w:r>
      <w:r/>
    </w:p>
    <w:p>
      <w:r>
        <w:t xml:space="preserve">*   </w:t>
      </w:r>
      <w:r>
        <w:rPr>
          <w:b/>
        </w:rPr>
        <w:t>Least Restrictive:</w:t>
      </w:r>
      <w:r>
        <w:t xml:space="preserve"> Use the minimum force necessary for the shortest duration.</w:t>
      </w:r>
    </w:p>
    <w:p>
      <w:r>
        <w:t xml:space="preserve">*   </w:t>
      </w:r>
      <w:r>
        <w:rPr>
          <w:b/>
        </w:rPr>
        <w:t>Mandatory Monitoring:</w:t>
      </w:r>
      <w:r>
        <w:t xml:space="preserve"> Constant 1:1 observation is required to monitor vitals and airway patency.</w:t>
      </w:r>
    </w:p>
    <w:p>
      <w:r>
        <w:t xml:space="preserve">*   </w:t>
      </w:r>
      <w:r>
        <w:rPr>
          <w:b/>
        </w:rPr>
        <w:t>Legal Duty:</w:t>
      </w:r>
      <w:r>
        <w:t xml:space="preserve"> Detailed documentation of the failed alternatives and the specific behaviors necessitating restraint is mandatory.</w:t>
      </w:r>
    </w:p>
    <w:p>
      <w:r>
        <w:t xml:space="preserve">*   </w:t>
      </w:r>
      <w:r>
        <w:rPr>
          <w:b/>
        </w:rPr>
        <w:t>Post-Event:</w:t>
      </w:r>
      <w:r>
        <w:t xml:space="preserve"> A clinical debrief with the patient and staff must occur after the restraint is removed.</w:t>
      </w:r>
    </w:p>
    <w:p>
      <w:pPr>
        <w:pStyle w:val="Heading3"/>
      </w:pPr>
      <w:r>
        <w:t>Effective Therapeutic Reassurance</w:t>
      </w:r>
    </w:p>
    <w:p>
      <w:r>
        <w:t>Reassurance is a clinical skill, not a casual platitude.</w:t>
      </w:r>
    </w:p>
    <w:p>
      <w:r>
        <w:t xml:space="preserve">*   </w:t>
      </w:r>
      <w:r>
        <w:rPr>
          <w:b/>
        </w:rPr>
        <w:t>The Process:</w:t>
      </w:r>
      <w:r>
        <w:t xml:space="preserve"> It must only be provided </w:t>
      </w:r>
      <w:r>
        <w:rPr>
          <w:b/>
        </w:rPr>
        <w:t>after</w:t>
      </w:r>
      <w:r>
        <w:t xml:space="preserve"> a thorough history and physical examination.</w:t>
      </w:r>
    </w:p>
    <w:p>
      <w:r>
        <w:t xml:space="preserve">*   </w:t>
      </w:r>
      <w:r>
        <w:rPr>
          <w:b/>
        </w:rPr>
        <w:t>Requirements:</w:t>
      </w:r>
      <w:r>
        <w:t xml:space="preserve"> To be effective, the explanation must be credible, evidence-based, and specifically address the patient's idiosyncratic fears (e.g., fear of a brain tumor in health anxiety).</w:t>
      </w:r>
    </w:p>
    <w:p>
      <w:r>
        <w:t xml:space="preserve">*   </w:t>
      </w:r>
      <w:r>
        <w:rPr>
          <w:b/>
        </w:rPr>
        <w:t>Pitfall:</w:t>
      </w:r>
      <w:r>
        <w:t xml:space="preserve"> Premature reassurance (saying "you're fine" before the exam) invalidates the patient's experience and increases anxiety.</w:t>
      </w:r>
    </w:p>
    <w:p>
      <w:r>
        <w:t>---</w:t>
      </w:r>
    </w:p>
    <w:p>
      <w:pPr>
        <w:pStyle w:val="Heading2"/>
      </w:pPr>
      <w:r>
        <w:t>5. Addiction Medicine: Alcohol Use Disorder (AUD)</w:t>
      </w:r>
    </w:p>
    <w:p>
      <w:pPr>
        <w:pStyle w:val="Heading3"/>
      </w:pPr>
      <w:r>
        <w:t>Genetic Risk Factors</w:t>
      </w:r>
    </w:p>
    <w:p>
      <w:r>
        <w:t>Genetic predisposition plays a significant role in the development of AUD. The lifetime risk in the general population is approximately 10–15%.</w:t>
      </w:r>
    </w:p>
    <w:p>
      <w:r>
        <w:t xml:space="preserve">*   </w:t>
      </w:r>
      <w:r>
        <w:rPr>
          <w:b/>
        </w:rPr>
        <w:t>One Parent Affected:</w:t>
      </w:r>
      <w:r>
        <w:t xml:space="preserve"> 30–40% risk.</w:t>
      </w:r>
    </w:p>
    <w:p>
      <w:r>
        <w:t xml:space="preserve">*   </w:t>
      </w:r>
      <w:r>
        <w:rPr>
          <w:b/>
        </w:rPr>
        <w:t>Both Parents Affected:</w:t>
      </w:r>
      <w:r>
        <w:t xml:space="preserve"> 40–60% risk.</w:t>
      </w:r>
    </w:p>
    <w:p>
      <w:r>
        <w:t xml:space="preserve">*   </w:t>
      </w:r>
      <w:r>
        <w:rPr>
          <w:b/>
        </w:rPr>
        <w:t>Monozygotic (Identical) Twins:</w:t>
      </w:r>
      <w:r>
        <w:t xml:space="preserve"> 50–60% concordance rate.</w:t>
      </w:r>
    </w:p>
    <w:p>
      <w:r>
        <w:t xml:space="preserve">*   </w:t>
      </w:r>
      <w:r>
        <w:rPr>
          <w:b/>
        </w:rPr>
        <w:t>Associated Traits:</w:t>
      </w:r>
      <w:r>
        <w:t xml:space="preserve"> High correlation between AUD and general risk-taking behaviors.</w:t>
      </w:r>
    </w:p>
    <w:p>
      <w:pPr>
        <w:pStyle w:val="Heading1"/>
      </w:pPr>
      <w:r>
        <w:t>Public Health</w:t>
      </w:r>
    </w:p>
    <w:p>
      <w:pPr>
        <w:pStyle w:val="Heading1"/>
      </w:pPr>
      <w:r>
        <w:t>**AMC Part 1 Examination: Comprehensive Preparation &amp; Clinical Summary**</w:t>
      </w:r>
    </w:p>
    <w:p>
      <w:r>
        <w:t>This document provides a consolidated, high-yield summary of essential resources, preparation strategies, and clinical guidelines for candidates sitting the Australian Medical Council (AMC) examinations.</w:t>
      </w:r>
    </w:p>
    <w:p>
      <w:r>
        <w:t>---</w:t>
      </w:r>
    </w:p>
    <w:p>
      <w:pPr>
        <w:pStyle w:val="Heading2"/>
      </w:pPr>
      <w:r>
        <w:t>**I. Primary Australian Clinical Resources**</w:t>
      </w:r>
    </w:p>
    <w:p>
      <w:r>
        <w:t>Success in the AMC exam is heavily dependent on familiarity with Australian-specific guidelines. Candidates must prioritize these sources over international texts.</w:t>
      </w:r>
    </w:p>
    <w:p>
      <w:pPr>
        <w:pStyle w:val="Heading3"/>
      </w:pPr>
      <w:r>
        <w:t>**The "Big Three" Essential Resources**</w:t>
      </w:r>
    </w:p>
    <w:p>
      <w:r>
        <w:t xml:space="preserve">1.  </w:t>
      </w:r>
      <w:r>
        <w:rPr>
          <w:b/>
        </w:rPr>
        <w:t>Therapeutic Guidelines (eTG complete):</w:t>
      </w:r>
      <w:r>
        <w:t xml:space="preserve"> The gold standard for pharmacology and clinical management. It is the primary source for prescribing protocols used in the exam.</w:t>
      </w:r>
    </w:p>
    <w:p>
      <w:r>
        <w:t xml:space="preserve">2.  </w:t>
      </w:r>
      <w:r>
        <w:rPr>
          <w:b/>
        </w:rPr>
        <w:t>RACGP ‘Red Book’ (Guidelines for preventive activities in general practice):</w:t>
      </w:r>
      <w:r>
        <w:t xml:space="preserve"> The definitive guide for screening, prevention, and public health.</w:t>
      </w:r>
    </w:p>
    <w:p>
      <w:r>
        <w:t xml:space="preserve">3.  </w:t>
      </w:r>
      <w:r>
        <w:rPr>
          <w:b/>
        </w:rPr>
        <w:t>Murtagh’s General Practice:</w:t>
      </w:r>
      <w:r>
        <w:t xml:space="preserve"> Essential for understanding the Australian primary care context, diagnostic frameworks, and "triple triggers."</w:t>
      </w:r>
    </w:p>
    <w:p>
      <w:pPr>
        <w:pStyle w:val="Heading3"/>
      </w:pPr>
      <w:r>
        <w:t>**Specialty-Specific Guidelines**</w:t>
      </w:r>
    </w:p>
    <w:p>
      <w:r>
        <w:t xml:space="preserve">*   </w:t>
      </w:r>
      <w:r>
        <w:rPr>
          <w:b/>
        </w:rPr>
        <w:t>Obstetrics &amp; Gynaecology:</w:t>
      </w:r>
      <w:r>
        <w:t xml:space="preserve"> RANZCOG Guidelines.</w:t>
      </w:r>
    </w:p>
    <w:p>
      <w:r>
        <w:t xml:space="preserve">*   </w:t>
      </w:r>
      <w:r>
        <w:rPr>
          <w:b/>
        </w:rPr>
        <w:t>Paediatrics:</w:t>
      </w:r>
      <w:r>
        <w:t xml:space="preserve"> RCH Melbourne Clinical Practice Guidelines.</w:t>
      </w:r>
    </w:p>
    <w:p>
      <w:r>
        <w:t xml:space="preserve">*   </w:t>
      </w:r>
      <w:r>
        <w:rPr>
          <w:b/>
        </w:rPr>
        <w:t>Immunization:</w:t>
      </w:r>
      <w:r>
        <w:t xml:space="preserve"> The Australian Immunisation Handbook (and ATAGI updates).</w:t>
      </w:r>
    </w:p>
    <w:p>
      <w:r>
        <w:t xml:space="preserve">*   </w:t>
      </w:r>
      <w:r>
        <w:rPr>
          <w:b/>
        </w:rPr>
        <w:t>Preventive Care:</w:t>
      </w:r>
      <w:r>
        <w:t xml:space="preserve"> RACGP ‘White Book’ (Management of musculoskeletal pain) and the ‘Silver Book’ (Aged care).</w:t>
      </w:r>
    </w:p>
    <w:p>
      <w:r>
        <w:t>---</w:t>
      </w:r>
    </w:p>
    <w:p>
      <w:pPr>
        <w:pStyle w:val="Heading2"/>
      </w:pPr>
      <w:r>
        <w:t>**II. Strategic Examination Preparation**</w:t>
      </w:r>
    </w:p>
    <w:p>
      <w:r>
        <w:t>The AMC Part 1 is a Computer Adaptive Test (CAT) that assesses the application of knowledge and clinical reasoning rather than rote memorization.</w:t>
      </w:r>
    </w:p>
    <w:p>
      <w:pPr>
        <w:pStyle w:val="Heading3"/>
      </w:pPr>
      <w:r>
        <w:t>**Study Methodology**</w:t>
      </w:r>
    </w:p>
    <w:p>
      <w:r>
        <w:t xml:space="preserve">*   </w:t>
      </w:r>
      <w:r>
        <w:rPr>
          <w:b/>
        </w:rPr>
        <w:t>Active Recall with "Recalls":</w:t>
      </w:r>
      <w:r>
        <w:t xml:space="preserve"> Use past exam questions (recalls) to identify high-yield topics. Do not merely memorize the answers; use the question as a prompt to study the relevant section in the </w:t>
      </w:r>
      <w:r>
        <w:rPr>
          <w:b/>
        </w:rPr>
        <w:t>eTG</w:t>
      </w:r>
      <w:r>
        <w:t xml:space="preserve"> or </w:t>
      </w:r>
      <w:r>
        <w:rPr>
          <w:b/>
        </w:rPr>
        <w:t>Red Book</w:t>
      </w:r>
      <w:r>
        <w:t>.</w:t>
      </w:r>
    </w:p>
    <w:p>
      <w:r>
        <w:t xml:space="preserve">*   </w:t>
      </w:r>
      <w:r>
        <w:rPr>
          <w:b/>
        </w:rPr>
        <w:t>Question Bank Integration:</w:t>
      </w:r>
      <w:r>
        <w:t xml:space="preserve"> Use platforms like </w:t>
      </w:r>
      <w:r>
        <w:rPr>
          <w:b/>
        </w:rPr>
        <w:t>eMedici</w:t>
      </w:r>
      <w:r>
        <w:t xml:space="preserve"> or the official </w:t>
      </w:r>
      <w:r>
        <w:rPr>
          <w:b/>
        </w:rPr>
        <w:t>AMC MCQ Handbook</w:t>
      </w:r>
      <w:r>
        <w:t>. Aim for 50–70 questions daily.</w:t>
      </w:r>
    </w:p>
    <w:p>
      <w:r>
        <w:t xml:space="preserve">*   </w:t>
      </w:r>
      <w:r>
        <w:rPr>
          <w:b/>
        </w:rPr>
        <w:t>The "Rule-Out" Technique:</w:t>
      </w:r>
      <w:r>
        <w:t xml:space="preserve"> Critically reason through distractors. Understand why an option is incorrect based on Australian pathophysiology and safety standards.</w:t>
      </w:r>
    </w:p>
    <w:p>
      <w:r>
        <w:t xml:space="preserve">*   </w:t>
      </w:r>
      <w:r>
        <w:rPr>
          <w:b/>
        </w:rPr>
        <w:t>Clinical Safety Focus:</w:t>
      </w:r>
      <w:r>
        <w:t xml:space="preserve"> The exam prioritizes "safe practice." In emergencies, always identify the single most critical issue (e.g., resuscitation before imaging).</w:t>
      </w:r>
    </w:p>
    <w:p>
      <w:pPr>
        <w:pStyle w:val="Heading3"/>
      </w:pPr>
      <w:r>
        <w:t>**Preparation Logistics**</w:t>
      </w:r>
    </w:p>
    <w:p>
      <w:r>
        <w:t xml:space="preserve">*   </w:t>
      </w:r>
      <w:r>
        <w:rPr>
          <w:b/>
        </w:rPr>
        <w:t>Group Integrity:</w:t>
      </w:r>
      <w:r>
        <w:t xml:space="preserve"> Join dedicated recall groups (e.g., Telegram). Ensure profile transparency (Name + Exam Month) to maintain focus.</w:t>
      </w:r>
    </w:p>
    <w:p>
      <w:r>
        <w:t xml:space="preserve">*   </w:t>
      </w:r>
      <w:r>
        <w:rPr>
          <w:b/>
        </w:rPr>
        <w:t>Timing:</w:t>
      </w:r>
      <w:r>
        <w:t xml:space="preserve"> Consider scheduling exams later in the month to benefit from a larger pool of recent recalls.</w:t>
      </w:r>
    </w:p>
    <w:p>
      <w:r>
        <w:t xml:space="preserve">*   </w:t>
      </w:r>
      <w:r>
        <w:rPr>
          <w:b/>
        </w:rPr>
        <w:t>Results:</w:t>
      </w:r>
      <w:r>
        <w:t xml:space="preserve"> Typically released between 3:45 PM and 4:00 PM AEST/AEDT via email and the AMC portal.</w:t>
      </w:r>
    </w:p>
    <w:p>
      <w:r>
        <w:t>---</w:t>
      </w:r>
    </w:p>
    <w:p>
      <w:pPr>
        <w:pStyle w:val="Heading2"/>
      </w:pPr>
      <w:r>
        <w:t>**III. High-Yield Public Health &amp; Screening**</w:t>
      </w:r>
    </w:p>
    <w:p>
      <w:r>
        <w:t>Screening intervals are a common source of exam questions. Note that Australian guidelines may differ significantly from UK (NICE) or US (USPSTF) standards.</w:t>
      </w:r>
    </w:p>
    <w:p>
      <w:pPr>
        <w:pStyle w:val="Heading3"/>
      </w:pPr>
      <w:r>
        <w:t>**1. Cervical Screening (Revised 2023)**</w:t>
      </w:r>
    </w:p>
    <w:p>
      <w:r>
        <w:t xml:space="preserve">*   </w:t>
      </w:r>
      <w:r>
        <w:rPr>
          <w:b/>
        </w:rPr>
        <w:t>Current Framework:</w:t>
      </w:r>
      <w:r>
        <w:t xml:space="preserve"> Risk-based, five-yearly HPV testing for asymptomatic individuals aged 25–74.</w:t>
      </w:r>
    </w:p>
    <w:p>
      <w:r>
        <w:t xml:space="preserve">*   </w:t>
      </w:r>
      <w:r>
        <w:rPr>
          <w:b/>
        </w:rPr>
        <w:t>Clinical Pearl:</w:t>
      </w:r>
      <w:r>
        <w:t xml:space="preserve"> Screening is not required for patients with no history of sexual activity.</w:t>
      </w:r>
    </w:p>
    <w:p>
      <w:pPr>
        <w:pStyle w:val="Heading3"/>
      </w:pPr>
      <w:r>
        <w:t>**2. Breast Cancer Screening**</w:t>
      </w:r>
    </w:p>
    <w:p>
      <w:r>
        <w:t xml:space="preserve">*   </w:t>
      </w:r>
      <w:r>
        <w:rPr>
          <w:b/>
        </w:rPr>
        <w:t>General Population:</w:t>
      </w:r>
      <w:r>
        <w:t xml:space="preserve"> Biennial mammography for women aged 50–74.</w:t>
      </w:r>
    </w:p>
    <w:p>
      <w:r>
        <w:t xml:space="preserve">*   </w:t>
      </w:r>
      <w:r>
        <w:rPr>
          <w:b/>
        </w:rPr>
        <w:t>High Risk:</w:t>
      </w:r>
      <w:r>
        <w:t xml:space="preserve"> Individuals with significant family history or BRCA mutations require individualized plans (MRI/Ultrasound) starting from age 30 or 40.</w:t>
      </w:r>
    </w:p>
    <w:p>
      <w:pPr>
        <w:pStyle w:val="Heading3"/>
      </w:pPr>
      <w:r>
        <w:t>**3. Colorectal Cancer (CRC) Screening**</w:t>
      </w:r>
    </w:p>
    <w:p>
      <w:r>
        <w:t>Risk is stratified by First-Degree Relative (FDR) history:</w:t>
      </w:r>
    </w:p>
    <w:p>
      <w:r>
        <w:t xml:space="preserve">*   </w:t>
      </w:r>
      <w:r>
        <w:rPr>
          <w:b/>
        </w:rPr>
        <w:t>Average Risk:</w:t>
      </w:r>
      <w:r>
        <w:t xml:space="preserve"> No family history or FDR diagnosed at age ≥60. </w:t>
      </w:r>
      <w:r>
        <w:rPr>
          <w:b/>
        </w:rPr>
        <w:t>Action:</w:t>
      </w:r>
      <w:r>
        <w:t xml:space="preserve"> iFOBT every 2 years (ages 45–74).</w:t>
      </w:r>
    </w:p>
    <w:p>
      <w:r>
        <w:t xml:space="preserve">*   </w:t>
      </w:r>
      <w:r>
        <w:rPr>
          <w:b/>
        </w:rPr>
        <w:t>Moderate Risk:</w:t>
      </w:r>
      <w:r>
        <w:t xml:space="preserve"> FDR diagnosed at age &lt;60. </w:t>
      </w:r>
      <w:r>
        <w:rPr>
          <w:b/>
        </w:rPr>
        <w:t>Action:</w:t>
      </w:r>
      <w:r>
        <w:t xml:space="preserve"> Colonoscopy every 5 years, starting at age 50 (or 10 years younger than FDR diagnosis).</w:t>
      </w:r>
    </w:p>
    <w:p>
      <w:r>
        <w:t xml:space="preserve">*   </w:t>
      </w:r>
      <w:r>
        <w:rPr>
          <w:b/>
        </w:rPr>
        <w:t>High Risk:</w:t>
      </w:r>
      <w:r>
        <w:t xml:space="preserve"> FDR diagnosed at age &lt;50. </w:t>
      </w:r>
      <w:r>
        <w:rPr>
          <w:b/>
        </w:rPr>
        <w:t>Action:</w:t>
      </w:r>
      <w:r>
        <w:t xml:space="preserve"> Colonoscopy every 5 years, starting at age 40 (or 10 years younger than FDR diagnosis).</w:t>
      </w:r>
    </w:p>
    <w:p>
      <w:pPr>
        <w:pStyle w:val="Heading3"/>
      </w:pPr>
      <w:r>
        <w:t>**4. Adult Vaccination Schedule (NIP)**</w:t>
      </w:r>
    </w:p>
    <w:p>
      <w:r>
        <w:t xml:space="preserve">*   </w:t>
      </w:r>
      <w:r>
        <w:rPr>
          <w:b/>
        </w:rPr>
        <w:t>dTpa (Pertussis):</w:t>
      </w:r>
      <w:r>
        <w:t xml:space="preserve"> Booster every 10 years.</w:t>
      </w:r>
    </w:p>
    <w:p>
      <w:r>
        <w:t xml:space="preserve">*   </w:t>
      </w:r>
      <w:r>
        <w:rPr>
          <w:b/>
        </w:rPr>
        <w:t>Shingles (Shingrix):</w:t>
      </w:r>
      <w:r>
        <w:t xml:space="preserve"> 2 doses, funded for age 65+.</w:t>
      </w:r>
    </w:p>
    <w:p>
      <w:r>
        <w:t xml:space="preserve">*   </w:t>
      </w:r>
      <w:r>
        <w:rPr>
          <w:b/>
        </w:rPr>
        <w:t>Pneumococcal:</w:t>
      </w:r>
      <w:r>
        <w:t xml:space="preserve"> Funded at age 70 (earlier for ATSI or high-risk groups).</w:t>
      </w:r>
    </w:p>
    <w:p>
      <w:r>
        <w:t xml:space="preserve">*   </w:t>
      </w:r>
      <w:r>
        <w:rPr>
          <w:b/>
        </w:rPr>
        <w:t>RSV:</w:t>
      </w:r>
      <w:r>
        <w:t xml:space="preserve"> Funded for age 75+ (60+ for ATSI).</w:t>
      </w:r>
    </w:p>
    <w:p>
      <w:r>
        <w:t>---</w:t>
      </w:r>
    </w:p>
    <w:p>
      <w:pPr>
        <w:pStyle w:val="Heading2"/>
      </w:pPr>
      <w:r>
        <w:t>**IV. Medical-Legal, Ethics &amp; Professional Conduct**</w:t>
      </w:r>
    </w:p>
    <w:p>
      <w:pPr>
        <w:pStyle w:val="Heading3"/>
      </w:pPr>
      <w:r>
        <w:t>**AHPRA Mandatory Reporting**</w:t>
      </w:r>
    </w:p>
    <w:p>
      <w:r>
        <w:t>Practitioners must report "notifiable conduct," which includes:</w:t>
      </w:r>
    </w:p>
    <w:p>
      <w:r>
        <w:t>*   Intoxication while practicing.</w:t>
      </w:r>
    </w:p>
    <w:p>
      <w:r>
        <w:t>*   Sexual misconduct.</w:t>
      </w:r>
    </w:p>
    <w:p>
      <w:r>
        <w:t>*   Impairment posing a substantial risk of harm.</w:t>
      </w:r>
    </w:p>
    <w:p>
      <w:r>
        <w:t>*   Significant departure from professional standards.</w:t>
      </w:r>
    </w:p>
    <w:p>
      <w:r>
        <w:t xml:space="preserve">*   </w:t>
      </w:r>
      <w:r>
        <w:rPr>
          <w:b/>
        </w:rPr>
        <w:t>The Safe Haven Exemption:</w:t>
      </w:r>
      <w:r>
        <w:t xml:space="preserve"> You are generally *not* required to report a practitioner-patient you are treating for a health issue, provided they are managing it safely.</w:t>
      </w:r>
    </w:p>
    <w:p>
      <w:pPr>
        <w:pStyle w:val="Heading3"/>
      </w:pPr>
      <w:r>
        <w:t>**Elder Abuse (P-FINaS)**</w:t>
      </w:r>
    </w:p>
    <w:p>
      <w:r>
        <w:t xml:space="preserve">Be vigilant for </w:t>
      </w:r>
      <w:r>
        <w:rPr>
          <w:b/>
        </w:rPr>
        <w:t>P</w:t>
      </w:r>
      <w:r>
        <w:t xml:space="preserve">hysical, </w:t>
      </w:r>
      <w:r>
        <w:rPr>
          <w:b/>
        </w:rPr>
        <w:t>F</w:t>
      </w:r>
      <w:r>
        <w:t xml:space="preserve">inancial, </w:t>
      </w:r>
      <w:r>
        <w:rPr>
          <w:b/>
        </w:rPr>
        <w:t>I</w:t>
      </w:r>
      <w:r>
        <w:t xml:space="preserve">ntellectual (Psychological), </w:t>
      </w:r>
      <w:r>
        <w:rPr>
          <w:b/>
        </w:rPr>
        <w:t>N</w:t>
      </w:r>
      <w:r>
        <w:t xml:space="preserve">eglect, and </w:t>
      </w:r>
      <w:r>
        <w:rPr>
          <w:b/>
        </w:rPr>
        <w:t>S</w:t>
      </w:r>
      <w:r>
        <w:t>exual abuse. Priority is always patient safety; involve social work and document objectively.</w:t>
      </w:r>
    </w:p>
    <w:p>
      <w:pPr>
        <w:pStyle w:val="Heading3"/>
      </w:pPr>
      <w:r>
        <w:t>**Medical-Legal Roles**</w:t>
      </w:r>
    </w:p>
    <w:p>
      <w:r>
        <w:t xml:space="preserve">*   </w:t>
      </w:r>
      <w:r>
        <w:rPr>
          <w:b/>
        </w:rPr>
        <w:t>Wills:</w:t>
      </w:r>
      <w:r>
        <w:t xml:space="preserve"> Doctors assess </w:t>
      </w:r>
      <w:r>
        <w:rPr>
          <w:b/>
        </w:rPr>
        <w:t>testamentary capacity</w:t>
      </w:r>
      <w:r>
        <w:t xml:space="preserve"> (mental fitness). They must *never* draft or execute the legal document themselves; this is the role of a lawyer.</w:t>
      </w:r>
    </w:p>
    <w:p>
      <w:r>
        <w:t xml:space="preserve">*   </w:t>
      </w:r>
      <w:r>
        <w:rPr>
          <w:b/>
        </w:rPr>
        <w:t>ATSI Health:</w:t>
      </w:r>
      <w:r>
        <w:t xml:space="preserve"> Aboriginal and Torres Strait Islander (ATSI) status is crucial for culturally safe care and triggers earlier screening (e.g., CVD risk assessment from age 35 instead of 45).</w:t>
      </w:r>
    </w:p>
    <w:p>
      <w:r>
        <w:t>---</w:t>
      </w:r>
    </w:p>
    <w:p>
      <w:pPr>
        <w:pStyle w:val="Heading2"/>
      </w:pPr>
      <w:r>
        <w:t>**V. High-Yield Clinical Management Pearls**</w:t>
      </w:r>
    </w:p>
    <w:p>
      <w:pPr>
        <w:pStyle w:val="Heading3"/>
      </w:pPr>
      <w:r>
        <w:t>**Pharmacology &amp; Fertility**</w:t>
      </w:r>
    </w:p>
    <w:p>
      <w:r>
        <w:t xml:space="preserve">*   </w:t>
      </w:r>
      <w:r>
        <w:rPr>
          <w:b/>
        </w:rPr>
        <w:t>Methotrexate (MTX):</w:t>
      </w:r>
      <w:r>
        <w:t xml:space="preserve"> A Category D teratogen.</w:t>
      </w:r>
    </w:p>
    <w:p>
      <w:r>
        <w:t xml:space="preserve">*   </w:t>
      </w:r>
      <w:r>
        <w:rPr>
          <w:b/>
        </w:rPr>
        <w:t>Female:</w:t>
      </w:r>
      <w:r>
        <w:t xml:space="preserve"> Absolute contraindication in pregnancy.</w:t>
      </w:r>
    </w:p>
    <w:p>
      <w:r>
        <w:t xml:space="preserve">*   </w:t>
      </w:r>
      <w:r>
        <w:rPr>
          <w:b/>
        </w:rPr>
        <w:t>Male:</w:t>
      </w:r>
      <w:r>
        <w:t xml:space="preserve"> At low doses (7.5–25 mg/week), MTX does not significantly affect sperm quality. Conception is generally considered safe, though some guidelines suggest a 3-month washout for theoretical safety.</w:t>
      </w:r>
    </w:p>
    <w:p>
      <w:pPr>
        <w:pStyle w:val="Heading3"/>
      </w:pPr>
      <w:r>
        <w:t>**Emergency &amp; Acute Care**</w:t>
      </w:r>
    </w:p>
    <w:p>
      <w:r>
        <w:t xml:space="preserve">*   </w:t>
      </w:r>
      <w:r>
        <w:rPr>
          <w:b/>
        </w:rPr>
        <w:t>Needlestick Injury:</w:t>
      </w:r>
      <w:r>
        <w:t xml:space="preserve"> 1. Wash/Bleed site; 2. Assess source status; 3. HIV PEP (within 72 hours, ideally 2); 4. Follow-up serology at 6 weeks, 3 months, and 6 months.</w:t>
      </w:r>
    </w:p>
    <w:p>
      <w:r>
        <w:t xml:space="preserve">*   </w:t>
      </w:r>
      <w:r>
        <w:rPr>
          <w:b/>
        </w:rPr>
        <w:t>Hyperkalaemia (K+ 6.4, No ECG changes):</w:t>
      </w:r>
      <w:r>
        <w:t xml:space="preserve"> Use insulin/dextrose to shift potassium intracellularly.</w:t>
      </w:r>
    </w:p>
    <w:p>
      <w:r>
        <w:t xml:space="preserve">*   </w:t>
      </w:r>
      <w:r>
        <w:rPr>
          <w:b/>
        </w:rPr>
        <w:t>Cardiac Tamponade:</w:t>
      </w:r>
      <w:r>
        <w:t xml:space="preserve"> Recognize Beck’s Triad (Hypotension, JVP distension, muffled heart sounds). Treatment: Immediate pericardiocentesis.</w:t>
      </w:r>
    </w:p>
    <w:p>
      <w:r>
        <w:t xml:space="preserve">*   </w:t>
      </w:r>
      <w:r>
        <w:rPr>
          <w:b/>
        </w:rPr>
        <w:t>SVT (Stable):</w:t>
      </w:r>
      <w:r>
        <w:t xml:space="preserve"> First-line medical management is IV Adenosine.</w:t>
      </w:r>
    </w:p>
    <w:p>
      <w:pPr>
        <w:pStyle w:val="Heading3"/>
      </w:pPr>
      <w:r>
        <w:t>**Paediatrics &amp; Obstetrics**</w:t>
      </w:r>
    </w:p>
    <w:p>
      <w:r>
        <w:t xml:space="preserve">*   </w:t>
      </w:r>
      <w:r>
        <w:rPr>
          <w:b/>
        </w:rPr>
        <w:t>SCFE:</w:t>
      </w:r>
      <w:r>
        <w:t xml:space="preserve"> Obese, limping child with knee/hip pain. Management: Urgent surgical pinning.</w:t>
      </w:r>
    </w:p>
    <w:p>
      <w:r>
        <w:t xml:space="preserve">*   </w:t>
      </w:r>
      <w:r>
        <w:rPr>
          <w:b/>
        </w:rPr>
        <w:t>Developmental:</w:t>
      </w:r>
      <w:r>
        <w:t xml:space="preserve"> Building a "bridge" with blocks is a 3-year-old milestone; buttoning clothes is a 4–5-year-old skill.</w:t>
      </w:r>
    </w:p>
    <w:p>
      <w:r>
        <w:t xml:space="preserve">*   </w:t>
      </w:r>
      <w:r>
        <w:rPr>
          <w:b/>
        </w:rPr>
        <w:t>Post-term Pregnancy:</w:t>
      </w:r>
      <w:r>
        <w:t xml:space="preserve"> At 41 weeks with meconium-stained liquor, perform continuous CTG. If Bishop score &lt;6, induce with prostaglandin gel.</w:t>
      </w:r>
    </w:p>
    <w:p>
      <w:r>
        <w:t>---</w:t>
      </w:r>
    </w:p>
    <w:p>
      <w:pPr>
        <w:pStyle w:val="Heading2"/>
      </w:pPr>
      <w:r>
        <w:t>**VI. Administrative Cautions**</w:t>
      </w:r>
    </w:p>
    <w:p>
      <w:r>
        <w:t xml:space="preserve">*   </w:t>
      </w:r>
      <w:r>
        <w:rPr>
          <w:b/>
        </w:rPr>
        <w:t>Service Credibility:</w:t>
      </w:r>
      <w:r>
        <w:t xml:space="preserve"> Exercise caution with unverified preparation programs (e.g., "Dr Charlie/Dr Papi"). Always seek peer-vetted resources.</w:t>
      </w:r>
    </w:p>
    <w:p>
      <w:r>
        <w:t xml:space="preserve">*   </w:t>
      </w:r>
      <w:r>
        <w:rPr>
          <w:b/>
        </w:rPr>
        <w:t>Rescheduling:</w:t>
      </w:r>
      <w:r>
        <w:t xml:space="preserve"> Candidates can reschedule exams via the AMC portal, provided it is done before the "event closing date" for that specific month (usually ~3 weeks prior).</w:t>
      </w:r>
    </w:p>
    <w:p>
      <w:pPr>
        <w:pStyle w:val="Heading1"/>
      </w:pPr>
      <w:r>
        <w:t>Respiratory</w:t>
      </w:r>
    </w:p>
    <w:p>
      <w:pPr>
        <w:pStyle w:val="Heading1"/>
      </w:pPr>
      <w:r>
        <w:t>**Respiratory Medicine: Clinical Practice Update and AMC High-Yield Summary**</w:t>
      </w:r>
    </w:p>
    <w:p>
      <w:pPr>
        <w:pStyle w:val="Heading2"/>
      </w:pPr>
      <w:r>
        <w:t>**1. Asthma Management (Australian Asthma Handbook v3.0)**</w:t>
      </w:r>
    </w:p>
    <w:p>
      <w:r>
        <w:t xml:space="preserve">The </w:t>
      </w:r>
      <w:r>
        <w:rPr>
          <w:b/>
        </w:rPr>
        <w:t>Australian Asthma Handbook (Version 3.0)</w:t>
      </w:r>
      <w:r>
        <w:t xml:space="preserve"> remains the definitive evidence-based guideline for management in Australia. Clinicians must be familiar with the </w:t>
      </w:r>
      <w:r>
        <w:rPr>
          <w:b/>
        </w:rPr>
        <w:t>stepwise management</w:t>
      </w:r>
      <w:r>
        <w:t xml:space="preserve"> approach.</w:t>
      </w:r>
    </w:p>
    <w:p>
      <w:pPr>
        <w:pStyle w:val="Heading3"/>
      </w:pPr>
      <w:r>
        <w:t>**Key Updates &amp; Maintenance/Reliever Therapy (MART)**</w:t>
      </w:r>
    </w:p>
    <w:p>
      <w:r>
        <w:t xml:space="preserve">*   </w:t>
      </w:r>
      <w:r>
        <w:rPr>
          <w:b/>
        </w:rPr>
        <w:t>ICS-Formoterol:</w:t>
      </w:r>
      <w:r>
        <w:t xml:space="preserve"> A pivotal shift in management is the use of inhaled corticosteroid (ICS)-formoterol as both a </w:t>
      </w:r>
      <w:r>
        <w:rPr>
          <w:b/>
        </w:rPr>
        <w:t>maintenance and reliever therapy (MART)</w:t>
      </w:r>
      <w:r>
        <w:t>.</w:t>
      </w:r>
    </w:p>
    <w:p>
      <w:r>
        <w:t xml:space="preserve">*   </w:t>
      </w:r>
      <w:r>
        <w:rPr>
          <w:b/>
        </w:rPr>
        <w:t>Stepwise Management:</w:t>
      </w:r>
      <w:r>
        <w:t xml:space="preserve"> Management is adjusted based on symptom control and exacerbation risk. Assessment of adherence and inhaler technique is mandatory before stepping up therapy.</w:t>
      </w:r>
    </w:p>
    <w:p>
      <w:r>
        <w:t xml:space="preserve">*   </w:t>
      </w:r>
      <w:r>
        <w:rPr>
          <w:b/>
        </w:rPr>
        <w:t>Resource:</w:t>
      </w:r>
      <w:r>
        <w:t xml:space="preserve"> Access the full handbook at [asthmahandbook.org.au](https://www.asthmahandbook.org.au).</w:t>
      </w:r>
    </w:p>
    <w:p>
      <w:r>
        <w:t>---</w:t>
      </w:r>
    </w:p>
    <w:p>
      <w:pPr>
        <w:pStyle w:val="Heading2"/>
      </w:pPr>
      <w:r>
        <w:t>**2. Pleural Effusion: Diagnostic Differentiation**</w:t>
      </w:r>
    </w:p>
    <w:p>
      <w:r>
        <w:t>Distinguishing between transudative and exudative effusions is a critical first step in diagnosis.</w:t>
      </w:r>
    </w:p>
    <w:p>
      <w:pPr>
        <w:pStyle w:val="Heading3"/>
      </w:pPr>
      <w:r>
        <w:t>**Light’s Criteria**</w:t>
      </w:r>
    </w:p>
    <w:p>
      <w:r>
        <w:t xml:space="preserve">An effusion is classified as an </w:t>
      </w:r>
      <w:r>
        <w:rPr>
          <w:b/>
        </w:rPr>
        <w:t>exudate</w:t>
      </w:r>
      <w:r>
        <w:t xml:space="preserve"> if at least one of the following is met:</w:t>
      </w:r>
    </w:p>
    <w:p>
      <w:r>
        <w:t xml:space="preserve">1.  </w:t>
      </w:r>
      <w:r>
        <w:rPr>
          <w:b/>
        </w:rPr>
        <w:t>Pleural protein / serum protein ratio</w:t>
      </w:r>
      <w:r>
        <w:t xml:space="preserve"> &gt; 0.5</w:t>
      </w:r>
    </w:p>
    <w:p>
      <w:r>
        <w:t xml:space="preserve">2.  </w:t>
      </w:r>
      <w:r>
        <w:rPr>
          <w:b/>
        </w:rPr>
        <w:t>Pleural LDH / serum LDH ratio</w:t>
      </w:r>
      <w:r>
        <w:t xml:space="preserve"> &gt; 0.6</w:t>
      </w:r>
    </w:p>
    <w:p>
      <w:r>
        <w:t xml:space="preserve">3.  </w:t>
      </w:r>
      <w:r>
        <w:rPr>
          <w:b/>
        </w:rPr>
        <w:t>Pleural LDH</w:t>
      </w:r>
      <w:r>
        <w:t xml:space="preserve"> &gt; 2/3 the upper limit of normal for serum LDH</w:t>
      </w:r>
    </w:p>
    <w:p>
      <w:pPr>
        <w:pStyle w:val="Heading3"/>
      </w:pPr>
      <w:r>
        <w:t>**Etiology**</w:t>
      </w:r>
    </w:p>
    <w:p>
      <w:r>
        <w:t xml:space="preserve">*   </w:t>
      </w:r>
      <w:r>
        <w:rPr>
          <w:b/>
        </w:rPr>
        <w:t>Transudate (Pressure Imbalance):</w:t>
      </w:r>
      <w:r>
        <w:t xml:space="preserve"> Congestive Heart Failure (most common), Cirrhosis (hepatic hydrothorax), Nephrotic syndrome, and Atelectasis.</w:t>
      </w:r>
    </w:p>
    <w:p>
      <w:r>
        <w:t xml:space="preserve">*   </w:t>
      </w:r>
      <w:r>
        <w:rPr>
          <w:b/>
        </w:rPr>
        <w:t>Exudate (Inflammation/Malignancy):</w:t>
      </w:r>
      <w:r>
        <w:t xml:space="preserve"> Parapneumonic effusions (pneumonia), Malignancy, Tuberculosis, Pulmonary Embolism (can also be transudative), and Connective Tissue Disease (e.g., Rheumatoid Arthritis).</w:t>
      </w:r>
    </w:p>
    <w:p>
      <w:r>
        <w:t xml:space="preserve">*   </w:t>
      </w:r>
      <w:r>
        <w:rPr>
          <w:b/>
        </w:rPr>
        <w:t>Special Case:</w:t>
      </w:r>
      <w:r>
        <w:t xml:space="preserve"> </w:t>
      </w:r>
      <w:r>
        <w:rPr>
          <w:b/>
        </w:rPr>
        <w:t>Chylothorax</w:t>
      </w:r>
      <w:r>
        <w:t xml:space="preserve"> is identified by a milky appearance and high triglycerides.</w:t>
      </w:r>
    </w:p>
    <w:p>
      <w:r>
        <w:t>---</w:t>
      </w:r>
    </w:p>
    <w:p>
      <w:pPr>
        <w:pStyle w:val="Heading2"/>
      </w:pPr>
      <w:r>
        <w:t>**3. Acute Respiratory Distress Syndrome (ARDS)**</w:t>
      </w:r>
    </w:p>
    <w:p>
      <w:r>
        <w:t>ARDS is characterized by acute hypoxaemic respiratory failure following a systemic or pulmonary insult.</w:t>
      </w:r>
    </w:p>
    <w:p>
      <w:pPr>
        <w:pStyle w:val="Heading3"/>
      </w:pPr>
      <w:r>
        <w:t>**Berlin Criteria (Definition)**</w:t>
      </w:r>
    </w:p>
    <w:p>
      <w:r>
        <w:t xml:space="preserve">*   </w:t>
      </w:r>
      <w:r>
        <w:rPr>
          <w:b/>
        </w:rPr>
        <w:t>Timing:</w:t>
      </w:r>
      <w:r>
        <w:t xml:space="preserve"> Within 1 week of a known clinical insult.</w:t>
      </w:r>
    </w:p>
    <w:p>
      <w:r>
        <w:t xml:space="preserve">*   </w:t>
      </w:r>
      <w:r>
        <w:rPr>
          <w:b/>
        </w:rPr>
        <w:t>Imaging:</w:t>
      </w:r>
      <w:r>
        <w:t xml:space="preserve"> Bilateral opacities (not fully explained by effusions, collapse, or nodules).</w:t>
      </w:r>
    </w:p>
    <w:p>
      <w:r>
        <w:t xml:space="preserve">*   </w:t>
      </w:r>
      <w:r>
        <w:rPr>
          <w:b/>
        </w:rPr>
        <w:t>Origin of Edema:</w:t>
      </w:r>
      <w:r>
        <w:t xml:space="preserve"> Not fully explained by cardiac failure or fluid overload.</w:t>
      </w:r>
    </w:p>
    <w:p>
      <w:r>
        <w:t xml:space="preserve">*   </w:t>
      </w:r>
      <w:r>
        <w:rPr>
          <w:b/>
        </w:rPr>
        <w:t>Oxygenation:</w:t>
      </w:r>
      <w:r>
        <w:t xml:space="preserve"> PaO2/FiO2 ratio ≤300 mmHg with PEEP ≥5 cm H2O.</w:t>
      </w:r>
    </w:p>
    <w:p>
      <w:pPr>
        <w:pStyle w:val="Heading3"/>
      </w:pPr>
      <w:r>
        <w:t>**Management Pillars**</w:t>
      </w:r>
    </w:p>
    <w:p>
      <w:r>
        <w:t xml:space="preserve">*   </w:t>
      </w:r>
      <w:r>
        <w:rPr>
          <w:b/>
        </w:rPr>
        <w:t>Lung-Protective Ventilation:</w:t>
      </w:r>
      <w:r>
        <w:t xml:space="preserve"> Use low tidal volumes (</w:t>
      </w:r>
      <w:r>
        <w:rPr>
          <w:b/>
        </w:rPr>
        <w:t>4–8 mL/kg</w:t>
      </w:r>
      <w:r>
        <w:t xml:space="preserve"> of predicted body weight) and plateau pressures </w:t>
      </w:r>
      <w:r>
        <w:rPr>
          <w:b/>
        </w:rPr>
        <w:t>&lt;30 cm H2O</w:t>
      </w:r>
      <w:r>
        <w:t xml:space="preserve"> to prevent ventilator-associated lung injury.</w:t>
      </w:r>
    </w:p>
    <w:p>
      <w:r>
        <w:t xml:space="preserve">*   </w:t>
      </w:r>
      <w:r>
        <w:rPr>
          <w:b/>
        </w:rPr>
        <w:t>Prone Positioning:</w:t>
      </w:r>
      <w:r>
        <w:t xml:space="preserve"> Indicated for severe ARDS (PaO2/FiO2 &lt;150) for &gt;12 hours per day.</w:t>
      </w:r>
    </w:p>
    <w:p>
      <w:r>
        <w:t xml:space="preserve">*   </w:t>
      </w:r>
      <w:r>
        <w:rPr>
          <w:b/>
        </w:rPr>
        <w:t>Fluid Management:</w:t>
      </w:r>
      <w:r>
        <w:t xml:space="preserve"> A conservative fluid strategy is preferred once the patient is hemodynamically stable.</w:t>
      </w:r>
    </w:p>
    <w:p>
      <w:r>
        <w:t xml:space="preserve">*   </w:t>
      </w:r>
      <w:r>
        <w:rPr>
          <w:b/>
        </w:rPr>
        <w:t>Refractory Cases:</w:t>
      </w:r>
      <w:r>
        <w:t xml:space="preserve"> Consider neuromuscular blockade or referral for Extra-Corporeal Membrane Oxygenation (ECMO).</w:t>
      </w:r>
    </w:p>
    <w:p>
      <w:r>
        <w:t>---</w:t>
      </w:r>
    </w:p>
    <w:p>
      <w:pPr>
        <w:pStyle w:val="Heading2"/>
      </w:pPr>
      <w:r>
        <w:t>**4. Cystic Fibrosis (CF)**</w:t>
      </w:r>
    </w:p>
    <w:p>
      <w:r>
        <w:t>Management of CF requires a comprehensive, multidisciplinary approach focusing on respiratory health and nutrition.</w:t>
      </w:r>
    </w:p>
    <w:p>
      <w:pPr>
        <w:pStyle w:val="Heading3"/>
      </w:pPr>
      <w:r>
        <w:t>**Respiratory Care**</w:t>
      </w:r>
    </w:p>
    <w:p>
      <w:r>
        <w:t xml:space="preserve">*   </w:t>
      </w:r>
      <w:r>
        <w:rPr>
          <w:b/>
        </w:rPr>
        <w:t>Airway Clearance:</w:t>
      </w:r>
      <w:r>
        <w:t xml:space="preserve"> Daily physiotherapy (e.g., PEP masks) and mucolytics (e.g., </w:t>
      </w:r>
      <w:r>
        <w:rPr>
          <w:b/>
        </w:rPr>
        <w:t>Inhaled dornase alfa</w:t>
      </w:r>
      <w:r>
        <w:t xml:space="preserve"> or hypertonic saline).</w:t>
      </w:r>
    </w:p>
    <w:p>
      <w:r>
        <w:t xml:space="preserve">*   </w:t>
      </w:r>
      <w:r>
        <w:rPr>
          <w:b/>
        </w:rPr>
        <w:t>Infection Control:</w:t>
      </w:r>
      <w:r>
        <w:t xml:space="preserve"> Chronic suppression of *Pseudomonas aeruginosa* with inhaled antibiotics (Tobramycin). Acute exacerbations require aggressive IV antibiotics (often dual therapy for synergy).</w:t>
      </w:r>
    </w:p>
    <w:p>
      <w:r>
        <w:t xml:space="preserve">*   </w:t>
      </w:r>
      <w:r>
        <w:rPr>
          <w:b/>
        </w:rPr>
        <w:t>CFTR Modulators:</w:t>
      </w:r>
      <w:r>
        <w:t xml:space="preserve"> Genotype-specific medications (e.g., Ivacaftor) that target the underlying protein defect.</w:t>
      </w:r>
    </w:p>
    <w:p>
      <w:pPr>
        <w:pStyle w:val="Heading3"/>
      </w:pPr>
      <w:r>
        <w:t>**Nutrition &amp; Systemic Health**</w:t>
      </w:r>
    </w:p>
    <w:p>
      <w:r>
        <w:t xml:space="preserve">*   </w:t>
      </w:r>
      <w:r>
        <w:rPr>
          <w:b/>
        </w:rPr>
        <w:t>Pancreatic Enzyme Replacement Therapy (PERT):</w:t>
      </w:r>
      <w:r>
        <w:t xml:space="preserve"> Essential for malabsorption.</w:t>
      </w:r>
    </w:p>
    <w:p>
      <w:r>
        <w:t xml:space="preserve">*   </w:t>
      </w:r>
      <w:r>
        <w:rPr>
          <w:b/>
        </w:rPr>
        <w:t>Supplementation:</w:t>
      </w:r>
      <w:r>
        <w:t xml:space="preserve"> High-calorie diets and fat-soluble vitamins (A, D, E, K).</w:t>
      </w:r>
    </w:p>
    <w:p>
      <w:r>
        <w:t>---</w:t>
      </w:r>
    </w:p>
    <w:p>
      <w:pPr>
        <w:pStyle w:val="Heading2"/>
      </w:pPr>
      <w:r>
        <w:t>**5. Community-Acquired Pneumonia (CAP)**</w:t>
      </w:r>
    </w:p>
    <w:p>
      <w:r>
        <w:t xml:space="preserve">Guidance for CAP in the Australian context is primarily driven by the </w:t>
      </w:r>
      <w:r>
        <w:rPr>
          <w:b/>
        </w:rPr>
        <w:t>Therapeutic Guidelines (eTG)</w:t>
      </w:r>
      <w:r>
        <w:t>.</w:t>
      </w:r>
    </w:p>
    <w:p>
      <w:r>
        <w:t xml:space="preserve">*   Clinicians should utilize the </w:t>
      </w:r>
      <w:r>
        <w:rPr>
          <w:b/>
        </w:rPr>
        <w:t>CURB-65</w:t>
      </w:r>
      <w:r>
        <w:t xml:space="preserve"> or </w:t>
      </w:r>
      <w:r>
        <w:rPr>
          <w:b/>
        </w:rPr>
        <w:t>SMART-COP</w:t>
      </w:r>
      <w:r>
        <w:t xml:space="preserve"> scores to determine the necessity of hospitalization and intensive care support.</w:t>
      </w:r>
    </w:p>
    <w:p>
      <w:r>
        <w:t>*   Resource: [Therapeutic Guidelines: Antibiotic](https://tgldcdp.tg.org.au/).</w:t>
      </w:r>
    </w:p>
    <w:p>
      <w:r>
        <w:t>---</w:t>
      </w:r>
    </w:p>
    <w:p>
      <w:pPr>
        <w:pStyle w:val="Heading2"/>
      </w:pPr>
      <w:r>
        <w:t>**6. Clinical Research &amp; Statistics (High-Yield AMC)**</w:t>
      </w:r>
    </w:p>
    <w:p>
      <w:r>
        <w:t>Understanding study design and data visualization is essential for evidence-based practice.</w:t>
      </w:r>
    </w:p>
    <w:p>
      <w:pPr>
        <w:pStyle w:val="Heading3"/>
      </w:pPr>
      <w:r>
        <w:t>**Forest Plots**</w:t>
      </w:r>
    </w:p>
    <w:p>
      <w:r>
        <w:t xml:space="preserve">*   Used in </w:t>
      </w:r>
      <w:r>
        <w:rPr>
          <w:b/>
        </w:rPr>
        <w:t>meta-analyses</w:t>
      </w:r>
      <w:r>
        <w:t xml:space="preserve"> to aggregate data from multiple studies.</w:t>
      </w:r>
    </w:p>
    <w:p>
      <w:r>
        <w:t xml:space="preserve">*   </w:t>
      </w:r>
      <w:r>
        <w:rPr>
          <w:b/>
        </w:rPr>
        <w:t>Interpretation:</w:t>
      </w:r>
      <w:r>
        <w:t xml:space="preserve"> The "diamond" represents the pooled effect estimate. If the horizontal wings (Confidence Intervals) cross the </w:t>
      </w:r>
      <w:r>
        <w:rPr>
          <w:b/>
        </w:rPr>
        <w:t>line of no effect</w:t>
      </w:r>
      <w:r>
        <w:t xml:space="preserve"> (1.0 for Odds Ratio/Relative Risk), the result is not statistically significant.</w:t>
      </w:r>
    </w:p>
    <w:p>
      <w:pPr>
        <w:pStyle w:val="Heading3"/>
      </w:pPr>
      <w:r>
        <w:t>**Study Design: Cohort Studies**</w:t>
      </w:r>
    </w:p>
    <w:p>
      <w:r>
        <w:t xml:space="preserve">*   </w:t>
      </w:r>
      <w:r>
        <w:rPr>
          <w:b/>
        </w:rPr>
        <w:t>Characteristics:</w:t>
      </w:r>
      <w:r>
        <w:t xml:space="preserve"> Observational study following a group (e.g., smokers vs. non-smokers) over time.</w:t>
      </w:r>
    </w:p>
    <w:p>
      <w:r>
        <w:t xml:space="preserve">*   </w:t>
      </w:r>
      <w:r>
        <w:rPr>
          <w:b/>
        </w:rPr>
        <w:t>Utility:</w:t>
      </w:r>
      <w:r>
        <w:t xml:space="preserve"> Excellent for establishing a temporal sequence and determining </w:t>
      </w:r>
      <w:r>
        <w:rPr>
          <w:b/>
        </w:rPr>
        <w:t>Relative Risk (RR)</w:t>
      </w:r>
      <w:r>
        <w:t xml:space="preserve"> and </w:t>
      </w:r>
      <w:r>
        <w:rPr>
          <w:b/>
        </w:rPr>
        <w:t>Incidence</w:t>
      </w:r>
      <w:r>
        <w:t>.</w:t>
      </w:r>
    </w:p>
    <w:p>
      <w:r>
        <w:t xml:space="preserve">*   </w:t>
      </w:r>
      <w:r>
        <w:rPr>
          <w:b/>
        </w:rPr>
        <w:t>Clinical Application:</w:t>
      </w:r>
      <w:r>
        <w:t xml:space="preserve"> Frequently used to study the association between exposures (smoking) and long-term outcomes (COPD/exacerbations).</w:t>
      </w:r>
    </w:p>
    <w:p>
      <w:r>
        <w:t>---</w:t>
      </w:r>
    </w:p>
    <w:p>
      <w:r/>
      <w:r>
        <w:rPr>
          <w:b/>
        </w:rPr>
        <w:t>Editor’s Note:</w:t>
      </w:r>
      <w:r>
        <w:t xml:space="preserve"> *For AMC exam candidates, prioritize the mastery of Light's Criteria and the nuances of MART therapy in asthma, as these are frequent high-yield topics.*</w:t>
      </w:r>
    </w:p>
    <w:p>
      <w:pPr>
        <w:pStyle w:val="Heading1"/>
      </w:pPr>
      <w:r>
        <w:t>Rheumatology</w:t>
      </w:r>
    </w:p>
    <w:p>
      <w:pPr>
        <w:pStyle w:val="Heading1"/>
      </w:pPr>
      <w:r>
        <w:t>Clinical Pearl: Gout and Alcohol History</w:t>
      </w:r>
    </w:p>
    <w:p>
      <w:r>
        <w:t xml:space="preserve">A history of alcohol consumption, particularly </w:t>
      </w:r>
      <w:r>
        <w:rPr>
          <w:b/>
        </w:rPr>
        <w:t>beer</w:t>
      </w:r>
      <w:r>
        <w:t>, is a significant clinical clue for gout in a patient presenting with acute monoarthritis.</w:t>
      </w:r>
    </w:p>
    <w:p>
      <w:pPr>
        <w:pStyle w:val="Heading2"/>
      </w:pPr>
      <w:r>
        <w:t>Pathophysiology</w:t>
      </w:r>
    </w:p>
    <w:p>
      <w:r>
        <w:t xml:space="preserve">*   </w:t>
      </w:r>
      <w:r>
        <w:rPr>
          <w:b/>
        </w:rPr>
        <w:t>Purine Load:</w:t>
      </w:r>
      <w:r>
        <w:t xml:space="preserve"> Beer is rich in purines from brewer's yeast, which are metabolized to uric acid.</w:t>
      </w:r>
    </w:p>
    <w:p>
      <w:r>
        <w:t xml:space="preserve">*   </w:t>
      </w:r>
      <w:r>
        <w:rPr>
          <w:b/>
        </w:rPr>
        <w:t>Increased Production:</w:t>
      </w:r>
      <w:r>
        <w:t xml:space="preserve"> Alcohol metabolism increases uric acid production via ATP degradation.</w:t>
      </w:r>
    </w:p>
    <w:p>
      <w:r>
        <w:t xml:space="preserve">*   </w:t>
      </w:r>
      <w:r>
        <w:rPr>
          <w:b/>
        </w:rPr>
        <w:t>Decreased Excretion:</w:t>
      </w:r>
      <w:r>
        <w:t xml:space="preserve"> Alcohol reduces the renal excretion of uric acid by:</w:t>
      </w:r>
    </w:p>
    <w:p>
      <w:r>
        <w:t>*   Promoting lactate production (which competitively inhibits uric acid secretion).</w:t>
      </w:r>
    </w:p>
    <w:p>
      <w:r>
        <w:t>*   Causing volume depletion, leading to increased uric acid reabsorption.</w:t>
      </w:r>
    </w:p>
    <w:p>
      <w:pPr>
        <w:pStyle w:val="Heading2"/>
      </w:pPr>
      <w:r>
        <w:t>Key Differentiator from Rheumatoid Arthritis (RA)</w:t>
      </w:r>
    </w:p>
    <w:p>
      <w:r>
        <w:t>This history helps distinguish gout from other common arthritides like RA:</w:t>
      </w:r>
    </w:p>
    <w:p>
      <w:r>
        <w:t xml:space="preserve">*   </w:t>
      </w:r>
      <w:r>
        <w:rPr>
          <w:b/>
        </w:rPr>
        <w:t>Gout:</w:t>
      </w:r>
      <w:r>
        <w:t xml:space="preserve"> Typically presents as </w:t>
      </w:r>
      <w:r>
        <w:rPr>
          <w:b/>
        </w:rPr>
        <w:t>acute, monoarticular attacks</w:t>
      </w:r>
      <w:r>
        <w:t xml:space="preserve"> (e.g., 1st MTP joint) that can be </w:t>
      </w:r>
      <w:r>
        <w:rPr>
          <w:b/>
        </w:rPr>
        <w:t>triggered by dietary factors</w:t>
      </w:r>
      <w:r>
        <w:t xml:space="preserve"> (alcohol, purine-rich meals).</w:t>
      </w:r>
    </w:p>
    <w:p>
      <w:r>
        <w:t xml:space="preserve">*   </w:t>
      </w:r>
      <w:r>
        <w:rPr>
          <w:b/>
        </w:rPr>
        <w:t>Rheumatoid Arthritis:</w:t>
      </w:r>
      <w:r>
        <w:t xml:space="preserve"> Presents with </w:t>
      </w:r>
      <w:r>
        <w:rPr>
          <w:b/>
        </w:rPr>
        <w:t>symmetrical, small joint polyarthritis</w:t>
      </w:r>
      <w:r>
        <w:t xml:space="preserve"> (MCPs, PIPs) and prominent </w:t>
      </w:r>
      <w:r>
        <w:rPr>
          <w:b/>
        </w:rPr>
        <w:t>morning stiffness</w:t>
      </w:r>
      <w:r>
        <w:t>, not isolated dietary triggers.</w:t>
      </w:r>
    </w:p>
    <w:p>
      <w:pPr>
        <w:pStyle w:val="Heading1"/>
      </w:pPr>
      <w:r>
        <w:t>Surgery</w:t>
      </w:r>
    </w:p>
    <w:p>
      <w:pPr>
        <w:pStyle w:val="Heading1"/>
      </w:pPr>
      <w:r>
        <w:t>High-Yield Surgical Review for AMC Examination</w:t>
      </w:r>
    </w:p>
    <w:p>
      <w:r>
        <w:t>This document consolidates key clinical concepts across various surgical subspecialties, focusing on diagnostic pearls, management priorities, and high-yield examination facts.</w:t>
      </w:r>
    </w:p>
    <w:p>
      <w:r>
        <w:t>---</w:t>
      </w:r>
    </w:p>
    <w:p>
      <w:pPr>
        <w:pStyle w:val="Heading2"/>
      </w:pPr>
      <w:r>
        <w:t>1. Colorectal and Lower Gastrointestinal Surgery</w:t>
      </w:r>
    </w:p>
    <w:p>
      <w:pPr>
        <w:pStyle w:val="Heading3"/>
      </w:pPr>
      <w:r>
        <w:t>Large Bowel Obstruction (LBO) and Cecal Dilation</w:t>
      </w:r>
    </w:p>
    <w:p>
      <w:r>
        <w:t xml:space="preserve">*   </w:t>
      </w:r>
      <w:r>
        <w:rPr>
          <w:b/>
        </w:rPr>
        <w:t>Pathophysiology:</w:t>
      </w:r>
      <w:r>
        <w:t xml:space="preserve"> A stenotic lesion (e.g., sigmoid cancer) can cause a closed-loop obstruction if the ileocecal valve is competent.</w:t>
      </w:r>
    </w:p>
    <w:p>
      <w:r>
        <w:t xml:space="preserve">*   </w:t>
      </w:r>
      <w:r>
        <w:rPr>
          <w:b/>
        </w:rPr>
        <w:t>Critical Thresholds:</w:t>
      </w:r>
      <w:r>
        <w:t xml:space="preserve"> A cecal diameter </w:t>
      </w:r>
      <w:r>
        <w:rPr>
          <w:b/>
        </w:rPr>
        <w:t>&gt;10–12 cm</w:t>
      </w:r>
      <w:r>
        <w:t xml:space="preserve"> (specifically 11 cm in the acute setting) indicates a high risk of ischemia or perforation. The risk becomes critical at </w:t>
      </w:r>
      <w:r>
        <w:rPr>
          <w:b/>
        </w:rPr>
        <w:t>13 cm</w:t>
      </w:r>
      <w:r>
        <w:t>.</w:t>
      </w:r>
    </w:p>
    <w:p>
      <w:r>
        <w:t xml:space="preserve">*   </w:t>
      </w:r>
      <w:r>
        <w:rPr>
          <w:b/>
        </w:rPr>
        <w:t>Management:</w:t>
      </w:r>
      <w:r/>
    </w:p>
    <w:p>
      <w:r>
        <w:t xml:space="preserve">*   </w:t>
      </w:r>
      <w:r>
        <w:rPr>
          <w:b/>
        </w:rPr>
        <w:t>Resectable/Surgical Candidate:</w:t>
      </w:r>
      <w:r>
        <w:t xml:space="preserve"> Sigmoid colectomy is definitive.</w:t>
      </w:r>
    </w:p>
    <w:p>
      <w:r>
        <w:t xml:space="preserve">*   </w:t>
      </w:r>
      <w:r>
        <w:rPr>
          <w:b/>
        </w:rPr>
        <w:t>Ischemia/Perforation:</w:t>
      </w:r>
      <w:r>
        <w:t xml:space="preserve"> If the cecum appears non-viable (discolored/friable) intraoperatively, the resection must be extended to include a </w:t>
      </w:r>
      <w:r>
        <w:rPr>
          <w:b/>
        </w:rPr>
        <w:t>right hemicolectomy</w:t>
      </w:r>
      <w:r>
        <w:t>.</w:t>
      </w:r>
    </w:p>
    <w:p>
      <w:r>
        <w:t xml:space="preserve">*   </w:t>
      </w:r>
      <w:r>
        <w:rPr>
          <w:b/>
        </w:rPr>
        <w:t>Palliation/Bridge to Surgery:</w:t>
      </w:r>
      <w:r>
        <w:t xml:space="preserve"> Colonic stenting or a decompressive cecostomy (temporizing) may be considered for patients who are not immediate surgical candidates.</w:t>
      </w:r>
    </w:p>
    <w:p>
      <w:pPr>
        <w:pStyle w:val="Heading3"/>
      </w:pPr>
      <w:r>
        <w:t>Neonatal Intestinal Obstruction</w:t>
      </w:r>
    </w:p>
    <w:p>
      <w:r>
        <w:t xml:space="preserve">*   </w:t>
      </w:r>
      <w:r>
        <w:rPr>
          <w:b/>
        </w:rPr>
        <w:t>Double Bubble Sign:</w:t>
      </w:r>
      <w:r>
        <w:t xml:space="preserve"> Diagnostic of </w:t>
      </w:r>
      <w:r>
        <w:rPr>
          <w:b/>
        </w:rPr>
        <w:t>duodenal atresia</w:t>
      </w:r>
      <w:r>
        <w:t xml:space="preserve"> or severe stenosis on abdominal X-ray. It represents gas in the stomach and the dilated proximal duodenum with an absence of distal gas.</w:t>
      </w:r>
    </w:p>
    <w:p>
      <w:r>
        <w:t xml:space="preserve">*   </w:t>
      </w:r>
      <w:r>
        <w:rPr>
          <w:b/>
        </w:rPr>
        <w:t>Adult Presentation:</w:t>
      </w:r>
      <w:r>
        <w:t xml:space="preserve"> A similar pattern may suggest chronic obstruction, such as </w:t>
      </w:r>
      <w:r>
        <w:rPr>
          <w:b/>
        </w:rPr>
        <w:t>Superior Mesenteric Artery (SMA) syndrome</w:t>
      </w:r>
      <w:r>
        <w:t>, but requires CT or contrast studies for confirmation.</w:t>
      </w:r>
    </w:p>
    <w:p>
      <w:r>
        <w:t>---</w:t>
      </w:r>
    </w:p>
    <w:p>
      <w:pPr>
        <w:pStyle w:val="Heading2"/>
      </w:pPr>
      <w:r>
        <w:t>2. Neck and Endocrine Surgery</w:t>
      </w:r>
    </w:p>
    <w:p>
      <w:pPr>
        <w:pStyle w:val="Heading3"/>
      </w:pPr>
      <w:r>
        <w:t>Thyroglossal Duct Cyst</w:t>
      </w:r>
    </w:p>
    <w:p>
      <w:r>
        <w:t xml:space="preserve">*   </w:t>
      </w:r>
      <w:r>
        <w:rPr>
          <w:b/>
        </w:rPr>
        <w:t>Clinical Presentation:</w:t>
      </w:r>
      <w:r>
        <w:t xml:space="preserve"> A soft, fluctuant midline neck mass that moves upward with </w:t>
      </w:r>
      <w:r>
        <w:rPr>
          <w:b/>
        </w:rPr>
        <w:t>tongue protrusion</w:t>
      </w:r>
      <w:r>
        <w:t xml:space="preserve"> (pathognomonic due to its attachment to the hyoid bone).</w:t>
      </w:r>
    </w:p>
    <w:p>
      <w:r>
        <w:t xml:space="preserve">*   </w:t>
      </w:r>
      <w:r>
        <w:rPr>
          <w:b/>
        </w:rPr>
        <w:t>Diagnostic Pathway:</w:t>
      </w:r>
      <w:r/>
    </w:p>
    <w:p>
      <w:r>
        <w:t xml:space="preserve">1.  </w:t>
      </w:r>
      <w:r>
        <w:rPr>
          <w:b/>
        </w:rPr>
        <w:t>Ultrasound (First-line):</w:t>
      </w:r>
      <w:r>
        <w:t xml:space="preserve"> Essential to confirm the cystic nature and, crucially, to </w:t>
      </w:r>
      <w:r>
        <w:rPr>
          <w:b/>
        </w:rPr>
        <w:t>confirm the presence of a normal thyroid gland</w:t>
      </w:r>
      <w:r>
        <w:t>. In 1–2% of cases, the cyst contains the patient's only functioning (ectopic) thyroid tissue.</w:t>
      </w:r>
    </w:p>
    <w:p>
      <w:r>
        <w:t xml:space="preserve">2.  </w:t>
      </w:r>
      <w:r>
        <w:rPr>
          <w:b/>
        </w:rPr>
        <w:t>Thyroid Function Tests (TFTs):</w:t>
      </w:r>
      <w:r>
        <w:t xml:space="preserve"> Secondary investigation; usually normal.</w:t>
      </w:r>
    </w:p>
    <w:p>
      <w:r>
        <w:t xml:space="preserve">3.  </w:t>
      </w:r>
      <w:r>
        <w:rPr>
          <w:b/>
        </w:rPr>
        <w:t>Fine Needle Aspiration (FNA):</w:t>
      </w:r>
      <w:r>
        <w:t xml:space="preserve"> Indicated if malignancy is suspected.</w:t>
      </w:r>
    </w:p>
    <w:p>
      <w:r>
        <w:t xml:space="preserve">*   </w:t>
      </w:r>
      <w:r>
        <w:rPr>
          <w:b/>
        </w:rPr>
        <w:t>Management:</w:t>
      </w:r>
      <w:r>
        <w:t xml:space="preserve"> </w:t>
      </w:r>
      <w:r>
        <w:rPr>
          <w:b/>
        </w:rPr>
        <w:t>Sistrunk Procedure</w:t>
      </w:r>
      <w:r>
        <w:t xml:space="preserve"> (excision of the cyst, the entire tract, and the central portion of the hyoid bone) to minimize recurrence.</w:t>
      </w:r>
    </w:p>
    <w:p>
      <w:r>
        <w:t xml:space="preserve">*   </w:t>
      </w:r>
      <w:r>
        <w:rPr>
          <w:b/>
        </w:rPr>
        <w:t>Complications:</w:t>
      </w:r>
      <w:r>
        <w:t xml:space="preserve"> Infection is common, presenting as a tender, erythematous mass.</w:t>
      </w:r>
    </w:p>
    <w:p>
      <w:r>
        <w:t>---</w:t>
      </w:r>
    </w:p>
    <w:p>
      <w:pPr>
        <w:pStyle w:val="Heading2"/>
      </w:pPr>
      <w:r>
        <w:t>3. Vascular Surgery: AV Fistula Complications</w:t>
      </w:r>
    </w:p>
    <w:p>
      <w:r>
        <w:t xml:space="preserve">| Feature | </w:t>
      </w:r>
      <w:r>
        <w:rPr>
          <w:b/>
        </w:rPr>
        <w:t>Inflow Stenosis</w:t>
      </w:r>
      <w:r>
        <w:t xml:space="preserve"> (Arterial Side) | </w:t>
      </w:r>
      <w:r>
        <w:rPr>
          <w:b/>
        </w:rPr>
        <w:t>Outflow Stenosis</w:t>
      </w:r>
      <w:r>
        <w:t xml:space="preserve"> (Venous Side) |</w:t>
      </w:r>
    </w:p>
    <w:p>
      <w:r>
        <w:t>| :--- | :--- | :--- |</w:t>
      </w:r>
    </w:p>
    <w:p>
      <w:r>
        <w:t xml:space="preserve">| </w:t>
      </w:r>
      <w:r>
        <w:rPr>
          <w:b/>
        </w:rPr>
        <w:t>Primary Sign</w:t>
      </w:r>
      <w:r>
        <w:t xml:space="preserve"> | Poor dialysis efficiency; high venous pressures. | </w:t>
      </w:r>
      <w:r>
        <w:rPr>
          <w:b/>
        </w:rPr>
        <w:t>Limb swelling</w:t>
      </w:r>
      <w:r>
        <w:t xml:space="preserve"> and congestion (hand/arm). |</w:t>
      </w:r>
    </w:p>
    <w:p>
      <w:r>
        <w:t xml:space="preserve">| </w:t>
      </w:r>
      <w:r>
        <w:rPr>
          <w:b/>
        </w:rPr>
        <w:t>Physical Exam</w:t>
      </w:r>
      <w:r>
        <w:t xml:space="preserve"> | Difficulty cannulating; reduced flow. | Thrill/bruit often maintained; edema. |</w:t>
      </w:r>
    </w:p>
    <w:p>
      <w:r>
        <w:t xml:space="preserve">| </w:t>
      </w:r>
      <w:r>
        <w:rPr>
          <w:b/>
        </w:rPr>
        <w:t>Neurological</w:t>
      </w:r>
      <w:r>
        <w:t xml:space="preserve"> | Rare. | Tingling/numbness due to edema compression. |</w:t>
      </w:r>
    </w:p>
    <w:p>
      <w:r>
        <w:t xml:space="preserve">| </w:t>
      </w:r>
      <w:r>
        <w:rPr>
          <w:b/>
        </w:rPr>
        <w:t>Clinical Pearl</w:t>
      </w:r>
      <w:r>
        <w:t xml:space="preserve"> | Prolonged bleeding after needle removal. | Progressive swelling is the hallmark. |</w:t>
      </w:r>
    </w:p>
    <w:p>
      <w:r>
        <w:t>---</w:t>
      </w:r>
    </w:p>
    <w:p>
      <w:pPr>
        <w:pStyle w:val="Heading2"/>
      </w:pPr>
      <w:r>
        <w:t>4. Bariatric Surgery: Roux-en-Y Gastric Bypass (RYGB)</w:t>
      </w:r>
    </w:p>
    <w:p>
      <w:r>
        <w:t>Complications are classified by timing:</w:t>
      </w:r>
    </w:p>
    <w:p>
      <w:r>
        <w:t xml:space="preserve">*   </w:t>
      </w:r>
      <w:r>
        <w:rPr>
          <w:b/>
        </w:rPr>
        <w:t>Early (≤30 days):</w:t>
      </w:r>
      <w:r/>
    </w:p>
    <w:p>
      <w:r>
        <w:t xml:space="preserve">*   </w:t>
      </w:r>
      <w:r>
        <w:rPr>
          <w:b/>
        </w:rPr>
        <w:t>Anastomotic Leak:</w:t>
      </w:r>
      <w:r>
        <w:t xml:space="preserve"> Most serious. Presents with tachycardia, fever, and abdominal pain. </w:t>
      </w:r>
      <w:r>
        <w:rPr>
          <w:b/>
        </w:rPr>
        <w:t>CT with oral contrast</w:t>
      </w:r>
      <w:r>
        <w:t xml:space="preserve"> is the gold standard for diagnosis.</w:t>
      </w:r>
    </w:p>
    <w:p>
      <w:r>
        <w:t xml:space="preserve">*   </w:t>
      </w:r>
      <w:r>
        <w:rPr>
          <w:b/>
        </w:rPr>
        <w:t>Bowel Obstruction:</w:t>
      </w:r>
      <w:r>
        <w:t xml:space="preserve"> Due to internal hernia or kinking at the jejunojejunostomy.</w:t>
      </w:r>
    </w:p>
    <w:p>
      <w:r>
        <w:t xml:space="preserve">*   </w:t>
      </w:r>
      <w:r>
        <w:rPr>
          <w:b/>
        </w:rPr>
        <w:t>Late (&gt;30 days):</w:t>
      </w:r>
      <w:r/>
    </w:p>
    <w:p>
      <w:r>
        <w:t xml:space="preserve">*   </w:t>
      </w:r>
      <w:r>
        <w:rPr>
          <w:b/>
        </w:rPr>
        <w:t>Internal Hernia:</w:t>
      </w:r>
      <w:r>
        <w:t xml:space="preserve"> Occurs through Peterson’s defect or mesenteric defects; represents a surgical emergency.</w:t>
      </w:r>
    </w:p>
    <w:p>
      <w:r>
        <w:t xml:space="preserve">*   </w:t>
      </w:r>
      <w:r>
        <w:rPr>
          <w:b/>
        </w:rPr>
        <w:t>Afferent Loop Syndrome:</w:t>
      </w:r>
      <w:r>
        <w:t xml:space="preserve"> Obstruction of the pancreatobiliary limb. Presents with postprandial pain and </w:t>
      </w:r>
      <w:r>
        <w:rPr>
          <w:b/>
        </w:rPr>
        <w:t>bilious vomiting</w:t>
      </w:r>
      <w:r>
        <w:t>.</w:t>
      </w:r>
    </w:p>
    <w:p>
      <w:r>
        <w:t xml:space="preserve">*   </w:t>
      </w:r>
      <w:r>
        <w:rPr>
          <w:b/>
        </w:rPr>
        <w:t>Nutritional Deficiencies:</w:t>
      </w:r>
      <w:r>
        <w:t xml:space="preserve"> Iron, B12, Folate, Calcium, and Vitamin D (bypass of duodenum).</w:t>
      </w:r>
    </w:p>
    <w:p>
      <w:r>
        <w:t xml:space="preserve">*   </w:t>
      </w:r>
      <w:r>
        <w:rPr>
          <w:b/>
        </w:rPr>
        <w:t>Dumping Syndrome:</w:t>
      </w:r>
      <w:r>
        <w:t xml:space="preserve"> Managed with dietary modification.</w:t>
      </w:r>
    </w:p>
    <w:p>
      <w:r>
        <w:t>---</w:t>
      </w:r>
    </w:p>
    <w:p>
      <w:pPr>
        <w:pStyle w:val="Heading2"/>
      </w:pPr>
      <w:r>
        <w:t>5. Otolaryngology (ENT)</w:t>
      </w:r>
    </w:p>
    <w:p>
      <w:r>
        <w:t xml:space="preserve">*   </w:t>
      </w:r>
      <w:r>
        <w:rPr>
          <w:b/>
        </w:rPr>
        <w:t>Granulation Tissue in the EAC:</w:t>
      </w:r>
      <w:r>
        <w:t xml:space="preserve"> A "red flag" for </w:t>
      </w:r>
      <w:r>
        <w:rPr>
          <w:b/>
        </w:rPr>
        <w:t>cholesteatoma</w:t>
      </w:r>
      <w:r>
        <w:t xml:space="preserve"> (especially with foul discharge and hearing loss) or </w:t>
      </w:r>
      <w:r>
        <w:rPr>
          <w:b/>
        </w:rPr>
        <w:t>necrotizing (malignant) otitis externa</w:t>
      </w:r>
      <w:r>
        <w:t xml:space="preserve"> in elderly/diabetic patients. Urgent ENT referral is mandatory.</w:t>
      </w:r>
    </w:p>
    <w:p>
      <w:r>
        <w:t xml:space="preserve">*   </w:t>
      </w:r>
      <w:r>
        <w:rPr>
          <w:b/>
        </w:rPr>
        <w:t>Chronic Otalgia with Normal Hearing:</w:t>
      </w:r>
      <w:r>
        <w:t xml:space="preserve"> This is a major "red flag" for </w:t>
      </w:r>
      <w:r>
        <w:rPr>
          <w:b/>
        </w:rPr>
        <w:t>referred pain from malignancy</w:t>
      </w:r>
      <w:r>
        <w:t>.</w:t>
      </w:r>
    </w:p>
    <w:p>
      <w:r>
        <w:t xml:space="preserve">*   </w:t>
      </w:r>
      <w:r>
        <w:rPr>
          <w:b/>
        </w:rPr>
        <w:t>Differential:</w:t>
      </w:r>
      <w:r>
        <w:t xml:space="preserve"> Cancers of the oropharynx, larynx, hypopharynx, or nasopharynx.</w:t>
      </w:r>
    </w:p>
    <w:p>
      <w:r>
        <w:t xml:space="preserve">*   </w:t>
      </w:r>
      <w:r>
        <w:rPr>
          <w:b/>
        </w:rPr>
        <w:t>Action:</w:t>
      </w:r>
      <w:r>
        <w:t xml:space="preserve"> Mandatory nasendoscopy and thorough ENT examination.</w:t>
      </w:r>
    </w:p>
    <w:p>
      <w:r>
        <w:t>---</w:t>
      </w:r>
    </w:p>
    <w:p>
      <w:pPr>
        <w:pStyle w:val="Heading2"/>
      </w:pPr>
      <w:r>
        <w:t>6. Urology and Renal Surgery</w:t>
      </w:r>
    </w:p>
    <w:p>
      <w:pPr>
        <w:pStyle w:val="Heading3"/>
      </w:pPr>
      <w:r>
        <w:t>Antibiotic Prophylaxis for TURP</w:t>
      </w:r>
    </w:p>
    <w:p>
      <w:r>
        <w:t xml:space="preserve">*   </w:t>
      </w:r>
      <w:r>
        <w:rPr>
          <w:b/>
        </w:rPr>
        <w:t>Infective Endocarditis (IE):</w:t>
      </w:r>
      <w:r>
        <w:t xml:space="preserve"> Current Australian (and international) guidelines </w:t>
      </w:r>
      <w:r>
        <w:rPr>
          <w:b/>
        </w:rPr>
        <w:t>do not</w:t>
      </w:r>
      <w:r>
        <w:t xml:space="preserve"> recommend IE prophylaxis for TURP, regardless of cardiac risk factors.</w:t>
      </w:r>
    </w:p>
    <w:p>
      <w:r>
        <w:t xml:space="preserve">*   </w:t>
      </w:r>
      <w:r>
        <w:rPr>
          <w:b/>
        </w:rPr>
        <w:t>Surgical Site Infection (SSI):</w:t>
      </w:r>
      <w:r>
        <w:t xml:space="preserve"> Prophylaxis </w:t>
      </w:r>
      <w:r>
        <w:rPr>
          <w:b/>
        </w:rPr>
        <w:t>is</w:t>
      </w:r>
      <w:r>
        <w:t xml:space="preserve"> required. Standard practice is a single dose of </w:t>
      </w:r>
      <w:r>
        <w:rPr>
          <w:b/>
        </w:rPr>
        <w:t>Gentamicin</w:t>
      </w:r>
      <w:r>
        <w:t xml:space="preserve"> at induction (or Cefazolin as an alternative).</w:t>
      </w:r>
    </w:p>
    <w:p>
      <w:pPr>
        <w:pStyle w:val="Heading3"/>
      </w:pPr>
      <w:r>
        <w:t>High-Yield Renal Points</w:t>
      </w:r>
    </w:p>
    <w:p>
      <w:r>
        <w:t xml:space="preserve">*   </w:t>
      </w:r>
      <w:r>
        <w:rPr>
          <w:b/>
        </w:rPr>
        <w:t>Renal Colic + Fever:</w:t>
      </w:r>
      <w:r>
        <w:t xml:space="preserve"> Indicates an infected obstructed system (pyelonephritis + stone). This is a </w:t>
      </w:r>
      <w:r>
        <w:rPr>
          <w:b/>
        </w:rPr>
        <w:t>urological emergency</w:t>
      </w:r>
      <w:r>
        <w:t xml:space="preserve"> requiring urgent decompression via a stent or nephrostomy.</w:t>
      </w:r>
    </w:p>
    <w:p>
      <w:r>
        <w:t xml:space="preserve">*   </w:t>
      </w:r>
      <w:r>
        <w:rPr>
          <w:b/>
        </w:rPr>
        <w:t>Kidney Cancer:</w:t>
      </w:r>
      <w:r>
        <w:t xml:space="preserve"> Renal Cell Carcinoma (RCC) should be considered in the differential for painless hematuria or incidental renal masses found on imaging.</w:t>
      </w:r>
    </w:p>
    <w:p>
      <w:r>
        <w:t>---</w:t>
      </w:r>
    </w:p>
    <w:p>
      <w:pPr>
        <w:pStyle w:val="Heading2"/>
      </w:pPr>
      <w:r>
        <w:t>7. Trauma and General Surgery</w:t>
      </w:r>
    </w:p>
    <w:p>
      <w:pPr>
        <w:pStyle w:val="Heading3"/>
      </w:pPr>
      <w:r>
        <w:t>Thoracic Surgery</w:t>
      </w:r>
    </w:p>
    <w:p>
      <w:r>
        <w:t xml:space="preserve">*   </w:t>
      </w:r>
      <w:r>
        <w:rPr>
          <w:b/>
        </w:rPr>
        <w:t>Bullectomy:</w:t>
      </w:r>
      <w:r>
        <w:t xml:space="preserve"> Surgical removal of giant bullae (most common in emphysema/COPD) to allow compressed lung tissue to re-expand and reduce dyspnea.</w:t>
      </w:r>
    </w:p>
    <w:p>
      <w:r>
        <w:t xml:space="preserve">*   </w:t>
      </w:r>
      <w:r>
        <w:rPr>
          <w:b/>
        </w:rPr>
        <w:t>Massive Haemothorax:</w:t>
      </w:r>
      <w:r>
        <w:t xml:space="preserve"> Initial management is a large-bore chest tube. Indications for </w:t>
      </w:r>
      <w:r>
        <w:rPr>
          <w:b/>
        </w:rPr>
        <w:t>Emergency Thoracotomy</w:t>
      </w:r>
      <w:r>
        <w:t xml:space="preserve"> include:</w:t>
      </w:r>
    </w:p>
    <w:p>
      <w:r>
        <w:t xml:space="preserve">*   Initial drainage of </w:t>
      </w:r>
      <w:r>
        <w:rPr>
          <w:b/>
        </w:rPr>
        <w:t>&gt;1500 ml</w:t>
      </w:r>
      <w:r>
        <w:t xml:space="preserve"> of blood.</w:t>
      </w:r>
    </w:p>
    <w:p>
      <w:r>
        <w:t xml:space="preserve">*   Ongoing bleeding of </w:t>
      </w:r>
      <w:r>
        <w:rPr>
          <w:b/>
        </w:rPr>
        <w:t>&gt;200 ml/hr</w:t>
      </w:r>
      <w:r>
        <w:t xml:space="preserve"> over 2–4 hours.</w:t>
      </w:r>
    </w:p>
    <w:p>
      <w:pPr>
        <w:pStyle w:val="Heading3"/>
      </w:pPr>
      <w:r>
        <w:t>Orthopedics</w:t>
      </w:r>
    </w:p>
    <w:p>
      <w:r>
        <w:t xml:space="preserve">*   </w:t>
      </w:r>
      <w:r>
        <w:rPr>
          <w:b/>
        </w:rPr>
        <w:t>Patellar Dislocation:</w:t>
      </w:r>
      <w:r>
        <w:t xml:space="preserve"> Suggested by an inability to actively extend the knee or laterally rotate it following an acute injury. Represents a disruption of the extensor mechanism.</w:t>
      </w:r>
    </w:p>
    <w:p>
      <w:pPr>
        <w:pStyle w:val="Heading3"/>
      </w:pPr>
      <w:r>
        <w:t>Breast Cancer Workup (Triple Assessment)</w:t>
      </w:r>
    </w:p>
    <w:p>
      <w:r>
        <w:t xml:space="preserve">1.  </w:t>
      </w:r>
      <w:r>
        <w:rPr>
          <w:b/>
        </w:rPr>
        <w:t>Clinical:</w:t>
      </w:r>
      <w:r>
        <w:t xml:space="preserve"> History and physical examination.</w:t>
      </w:r>
    </w:p>
    <w:p>
      <w:r>
        <w:t xml:space="preserve">2.  </w:t>
      </w:r>
      <w:r>
        <w:rPr>
          <w:b/>
        </w:rPr>
        <w:t>Imaging:</w:t>
      </w:r>
      <w:r>
        <w:t xml:space="preserve"> Mammography (usually &gt;35 yrs) and/or Ultrasound (&lt;35 yrs or as adjunct).</w:t>
      </w:r>
    </w:p>
    <w:p>
      <w:r>
        <w:t xml:space="preserve">3.  </w:t>
      </w:r>
      <w:r>
        <w:rPr>
          <w:b/>
        </w:rPr>
        <w:t>Pathology:</w:t>
      </w:r>
      <w:r>
        <w:t xml:space="preserve"> Core biopsy (preferred) or Fine Needle Aspiration (FNA).</w:t>
      </w:r>
    </w:p>
    <w:p>
      <w:r>
        <w:t>---</w:t>
      </w:r>
    </w:p>
    <w:p>
      <w:pPr>
        <w:pStyle w:val="Heading2"/>
      </w:pPr>
      <w:r>
        <w:t>8. AMC Rapid-Fire Recall Blitz</w:t>
      </w:r>
    </w:p>
    <w:p>
      <w:r>
        <w:t xml:space="preserve">*   </w:t>
      </w:r>
      <w:r>
        <w:rPr>
          <w:b/>
        </w:rPr>
        <w:t>Appendiceal Abscess:</w:t>
      </w:r>
      <w:r>
        <w:t xml:space="preserve"> Treat with image-guided drainage and antibiotics; interval appendectomy is controversial.</w:t>
      </w:r>
    </w:p>
    <w:p>
      <w:r>
        <w:t xml:space="preserve">*   </w:t>
      </w:r>
      <w:r>
        <w:rPr>
          <w:b/>
        </w:rPr>
        <w:t>Incarcerated Inguinal Hernia (Child):</w:t>
      </w:r>
      <w:r>
        <w:t xml:space="preserve"> If signs of strangulation/inflammation are present, immediate surgery is required.</w:t>
      </w:r>
    </w:p>
    <w:p>
      <w:r>
        <w:t xml:space="preserve">*   </w:t>
      </w:r>
      <w:r>
        <w:rPr>
          <w:b/>
        </w:rPr>
        <w:t>Post-operative Delirium:</w:t>
      </w:r>
      <w:r>
        <w:t xml:space="preserve"> Prioritize clinical assessment (Rule out hypoxia, infection/sepsis, or electrolyte imbalance) over sedation.</w:t>
      </w:r>
    </w:p>
    <w:p>
      <w:r>
        <w:t xml:space="preserve">*   </w:t>
      </w:r>
      <w:r>
        <w:rPr>
          <w:b/>
        </w:rPr>
        <w:t>Meningitis + Low GCS:</w:t>
      </w:r>
      <w:r>
        <w:t xml:space="preserve"> Always perform a </w:t>
      </w:r>
      <w:r>
        <w:rPr>
          <w:b/>
        </w:rPr>
        <w:t>Head CT</w:t>
      </w:r>
      <w:r>
        <w:t xml:space="preserve"> before Lumbar Puncture (LP) to rule out mass effect/herniation risk.</w:t>
      </w:r>
    </w:p>
    <w:p>
      <w:r>
        <w:t xml:space="preserve">*   </w:t>
      </w:r>
      <w:r>
        <w:rPr>
          <w:b/>
        </w:rPr>
        <w:t>Suicide/Overdose:</w:t>
      </w:r>
      <w:r>
        <w:t xml:space="preserve"> Paracetamol levels must be checked in all intentional self-poisonings, as toxicity is often initially silent.</w:t>
      </w:r>
    </w:p>
    <w:p>
      <w:r>
        <w:t xml:space="preserve">*   </w:t>
      </w:r>
      <w:r>
        <w:rPr>
          <w:b/>
        </w:rPr>
        <w:t>Acute Biliary Pancreatitis:</w:t>
      </w:r>
      <w:r>
        <w:t xml:space="preserve"> Standard care includes aggressive fluid resuscitation and analgesia; </w:t>
      </w:r>
      <w:r>
        <w:rPr>
          <w:b/>
        </w:rPr>
        <w:t>ERCP</w:t>
      </w:r>
      <w:r>
        <w:t xml:space="preserve"> is indicated only if there is concomitant cholangitis or persistent biliary obstruction.</w:t>
      </w:r>
    </w:p>
    <w:p>
      <w:r>
        <w:t xml:space="preserve">*   </w:t>
      </w:r>
      <w:r>
        <w:rPr>
          <w:b/>
        </w:rPr>
        <w:t>Obstetrics:</w:t>
      </w:r>
      <w:r/>
    </w:p>
    <w:p>
      <w:r>
        <w:t xml:space="preserve">*   </w:t>
      </w:r>
      <w:r>
        <w:rPr>
          <w:b/>
        </w:rPr>
        <w:t>Arrest of Labour (Active Phase):</w:t>
      </w:r>
      <w:r>
        <w:t xml:space="preserve"> If no progress for &gt;4 hours, augment with Oxytocin (if no cephalopelvic disproportion).</w:t>
      </w:r>
    </w:p>
    <w:p>
      <w:r>
        <w:t xml:space="preserve">*   </w:t>
      </w:r>
      <w:r>
        <w:rPr>
          <w:b/>
        </w:rPr>
        <w:t>Cord Prolapse:</w:t>
      </w:r>
      <w:r>
        <w:t xml:space="preserve"> If the fetus is distressed and the mother is fully dilated, proceed to immediate instrumental delivery. Do not attempt to replace the cord.</w:t>
      </w:r>
    </w:p>
    <w:p>
      <w:pPr>
        <w:pStyle w:val="Heading1"/>
      </w:pPr>
      <w:r>
        <w:t>Urology</w:t>
      </w:r>
    </w:p>
    <w:p>
      <w:pPr>
        <w:pStyle w:val="Heading1"/>
      </w:pPr>
      <w:r>
        <w:t>Renal Colic &amp; Nephrolithiasis: Summary for Clinical Practice</w:t>
      </w:r>
    </w:p>
    <w:p>
      <w:pPr>
        <w:pStyle w:val="Heading2"/>
      </w:pPr>
      <w:r>
        <w:t>Classic Clinical Presentation</w:t>
      </w:r>
    </w:p>
    <w:p>
      <w:r>
        <w:t xml:space="preserve">*   </w:t>
      </w:r>
      <w:r>
        <w:rPr>
          <w:b/>
        </w:rPr>
        <w:t>Pain:</w:t>
      </w:r>
      <w:r>
        <w:t xml:space="preserve"> Sudden onset of severe, colicky (waxing and waning) pain, typically radiating from the loin/flank to the groin. The patient is characteristically </w:t>
      </w:r>
      <w:r>
        <w:rPr>
          <w:b/>
        </w:rPr>
        <w:t>restless</w:t>
      </w:r>
      <w:r>
        <w:t xml:space="preserve"> and unable to find a comfortable position.</w:t>
      </w:r>
    </w:p>
    <w:p>
      <w:r>
        <w:t xml:space="preserve">*   </w:t>
      </w:r>
      <w:r>
        <w:rPr>
          <w:b/>
        </w:rPr>
        <w:t>Associated Symptoms:</w:t>
      </w:r>
      <w:r>
        <w:t xml:space="preserve"> Commonly includes nausea and vomiting. </w:t>
      </w:r>
      <w:r>
        <w:rPr>
          <w:b/>
        </w:rPr>
        <w:t>Haematuria</w:t>
      </w:r>
      <w:r>
        <w:t xml:space="preserve"> (either microscopic or visible) is a frequent finding.</w:t>
      </w:r>
    </w:p>
    <w:p>
      <w:pPr>
        <w:pStyle w:val="Heading2"/>
      </w:pPr>
      <w:r>
        <w:t>Diagnostic Gold Standard</w:t>
      </w:r>
    </w:p>
    <w:p>
      <w:r>
        <w:t xml:space="preserve">*   </w:t>
      </w:r>
      <w:r>
        <w:rPr>
          <w:b/>
        </w:rPr>
        <w:t>Non-contrast CT KUB</w:t>
      </w:r>
      <w:r>
        <w:t xml:space="preserve"> (Computed Tomography of Kidneys, Ureters, and Bladder) is the investigation of choice for confirming the diagnosis, identifying stone size and location, and assessing for complications like hydronephrosis.</w:t>
      </w:r>
    </w:p>
    <w:p>
      <w:pPr>
        <w:pStyle w:val="Heading2"/>
      </w:pPr>
      <w:r>
        <w:t>Initial Management Principles</w:t>
      </w:r>
    </w:p>
    <w:p>
      <w:r>
        <w:t xml:space="preserve">*   </w:t>
      </w:r>
      <w:r>
        <w:rPr>
          <w:b/>
        </w:rPr>
        <w:t>Analgesia:</w:t>
      </w:r>
      <w:r/>
    </w:p>
    <w:p>
      <w:r>
        <w:t xml:space="preserve">*   </w:t>
      </w:r>
      <w:r>
        <w:rPr>
          <w:b/>
        </w:rPr>
        <w:t>First-line:</w:t>
      </w:r>
      <w:r>
        <w:t xml:space="preserve"> </w:t>
      </w:r>
      <w:r>
        <w:rPr>
          <w:b/>
        </w:rPr>
        <w:t>NSAIDs</w:t>
      </w:r>
      <w:r>
        <w:t xml:space="preserve"> (e.g., IV/IM diclofenac, ketorolac). They provide effective pain relief and help reduce ureteric oedema.</w:t>
      </w:r>
    </w:p>
    <w:p>
      <w:r>
        <w:t xml:space="preserve">*   </w:t>
      </w:r>
      <w:r>
        <w:rPr>
          <w:b/>
        </w:rPr>
        <w:t>Adjunct:</w:t>
      </w:r>
      <w:r>
        <w:t xml:space="preserve"> Opioids may be added for breakthrough pain if NSAIDs are insufficient.</w:t>
      </w:r>
    </w:p>
    <w:p>
      <w:r>
        <w:t xml:space="preserve">*   </w:t>
      </w:r>
      <w:r>
        <w:rPr>
          <w:b/>
        </w:rPr>
        <w:t>Supportive Care:</w:t>
      </w:r>
      <w:r>
        <w:t xml:space="preserve"> Encourage oral hydration. Administer </w:t>
      </w:r>
      <w:r>
        <w:rPr>
          <w:b/>
        </w:rPr>
        <w:t>IV fluids</w:t>
      </w:r>
      <w:r>
        <w:t xml:space="preserve"> if the patient is vomiting and unable to maintain oral intake.</w:t>
      </w:r>
    </w:p>
    <w:p>
      <w:r>
        <w:t xml:space="preserve">*   </w:t>
      </w:r>
      <w:r>
        <w:rPr>
          <w:b/>
        </w:rPr>
        <w:t>Medical Expulsive Therapy (MET):</w:t>
      </w:r>
      <w:r>
        <w:t xml:space="preserve"> Consider an </w:t>
      </w:r>
      <w:r>
        <w:rPr>
          <w:b/>
        </w:rPr>
        <w:t>alpha-blocker (e.g., tamsulosin)</w:t>
      </w:r>
      <w:r>
        <w:t xml:space="preserve"> for distal ureteric stones </w:t>
      </w:r>
      <w:r>
        <w:rPr>
          <w:b/>
        </w:rPr>
        <w:t>&gt;5mm</w:t>
      </w:r>
      <w:r>
        <w:t xml:space="preserve"> to relax ureteric smooth muscle and facilitate spontaneous passage.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