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 xml:space="preserve">Version 1.2  ·  2026-08-01  ·  EN↔SL (DE later)  ·  hpelitebook8g1i16, Ubuntu 26.04</w:t>
      </w:r>
    </w:p>
    <w:p>
      <w:pPr>
        <w:spacing w:after="120" w:line="264"/>
      </w:pPr>
      <w:r>
        <w:rPr>
          <w:rFonts w:ascii="Calibri" w:cs="Calibri" w:eastAsia="Calibri" w:hAnsi="Calibri"/>
          <w:color w:val="1A1A1A"/>
          <w:sz w:val="21"/>
          <w:szCs w:val="21"/>
        </w:rPr>
        <w:t xml:space="preserve">This document consolidates and replaces the Hardware Assessment, Workflow Architecture, and Addenda 1 and 2. Version 1.2 revises it for the multi-project confidential layout, the encrypted container, and the Claude Code project location.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 xml:space="preserve">1.1 The four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git@github.com:hmbseaotter/offline-translation-kit.git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 xml:space="preserve">The alias matters. Every script refers to gams3:q8, so switching models later is one tr-model invocation rather than an edit in eight places. It also pins num_ctx and temperature so behavior does not drift with an Ollama upgrade.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tr-inventory              # classify every file in source/</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tr-inventory --rescan     # re-examine files already recorded</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tr-inventory --no-ocr     #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Seed the memory with the translator’s prior work</w:t>
      </w:r>
    </w:p>
    <w:p>
      <w:pPr>
        <w:spacing w:after="120" w:line="264"/>
      </w:pPr>
      <w:r>
        <w:rPr>
          <w:rFonts w:ascii="Calibri" w:cs="Calibri" w:eastAsia="Calibri" w:hAnsi="Calibri"/>
          <w:color w:val="1A1A1A"/>
          <w:sz w:val="21"/>
          <w:szCs w:val="21"/>
        </w:rPr>
        <w:t xml:space="preserve">The metric is edits this particular translator makes. If any prior EN↔SL legal translations exist, aligning them into the memory means drafts arrive already using their established renderings and register. A draft that matches their habits produces fewer corrections than an objectively similar draft that does not. This is probably the single highest-value input available and costs one conversation plus an alignment pass.</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cs="Calibri" w:eastAsia="Calibri" w:hAnsi="Calibri"/>
          <w:color w:val="1A1A1A"/>
          <w:sz w:val="21"/>
          <w:szCs w:val="21"/>
        </w:rPr>
        <w:t xml:space="preserve">Check names, dates, case numbers, amounts, and the characters č, š, ž specifically. Mangled diacritics can still produce valid Slovene words, so no spell-check will catch them. OCR output is cached, so stage 2 does not re-run it.</w:t>
      </w:r>
    </w:p>
    <w:p>
      <w:pPr>
        <w:spacing w:after="120" w:line="264"/>
      </w:pPr>
      <w:r>
        <w:rPr>
          <w:rFonts w:ascii="Calibri" w:cs="Calibri" w:eastAsia="Calibri" w:hAnsi="Calibri"/>
          <w:color w:val="1A1A1A"/>
          <w:sz w:val="21"/>
          <w:szCs w:val="21"/>
        </w:rPr>
        <w:t>A second engine is worth adding if scan quality is poor. A vision model reads a page by a completely different mechanism than Tesseract, so their failure modes are largely uncorrelated. Run both, compare only the numbers, dates, and capitalized tokens, and inspect where they disagree.</w:t>
      </w:r>
    </w:p>
    <w:p>
      <w:pPr>
        <w:spacing w:after="120" w:line="264"/>
      </w:pPr>
      <w:r>
        <w:rPr>
          <w:rFonts w:ascii="Calibri" w:cs="Calibri" w:eastAsia="Calibri" w:hAnsi="Calibri"/>
          <w:color w:val="1A1A1A"/>
          <w:sz w:val="21"/>
          <w:szCs w:val="21"/>
        </w:rPr>
        <w:t>Vision input works. The installed Qwen model transcribed a rendered Slovene legal page at 97.3% against the page's own text layer, with every case number, amount, date and diacritic exact. The 2.7% shortfall was the model being right where the comparison was wrong: it read the evidence table as a table, keeping Datum with its date and Znesek with its amount, where pdftotext flattened the headers into one column and the values into another. For a document where a figure must stay bound to its label, that is the difference that matters.</w:t>
      </w:r>
    </w:p>
    <w:p>
      <w:pPr>
        <w:spacing w:after="120" w:line="264"/>
      </w:pPr>
      <w:r>
        <w:rPr>
          <w:rFonts w:ascii="Calibri" w:cs="Calibri" w:eastAsia="Calibri" w:hAnsi="Calibri"/>
          <w:color w:val="1A1A1A"/>
          <w:sz w:val="21"/>
          <w:szCs w:val="21"/>
        </w:rPr>
        <w:t>It costs about 6.7 minutes a page, against seconds for Tesseract. So the cross-check is affordable on the pages that carry the risk - those with case numbers, dates and amounts, or where Tesseract's own confidence is low - and not affordable across a whole corpus. Which pages is the open question; whether it works is not.</w:t>
      </w:r>
    </w:p>
    <w:p>
      <w:pPr>
        <w:spacing w:after="120" w:line="264"/>
      </w:pPr>
      <w:r>
        <w:rPr>
          <w:rFonts w:ascii="Calibri" w:cs="Calibri" w:eastAsia="Calibri" w:hAnsi="Calibri"/>
          <w:color w:val="1A1A1A"/>
          <w:sz w:val="21"/>
          <w:szCs w:val="21"/>
        </w:rPr>
        <w:t>One caveat before relying on it: the page tested was a clean render, not a scan. Skew, speckle, stamps and handwriting are untested.</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qwen3.6</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"Transcribe this page verbatim."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./page.png</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tr-inventory               #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 xml:space="preserve">A file is re-translated only if its source is newer than its output.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TR_PROMPT_VERSION=</w:t>
      </w:r>
      <w:r>
        <w:rPr>
          <w:rFonts w:ascii="Consolas" w:cs="Consolas" w:eastAsia="Consolas" w:hAnsi="Consolas"/>
          <w:color w:val="35322E"/>
          <w:sz w:val="17"/>
          <w:szCs w:val="17"/>
        </w:rPr>
        <w:t xml:space="preserve">v2</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ignore memory, retranslate</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root holding all projects</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TR_ROOT</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(active project)</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gams3:q8</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alias used by every script</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TR_SRC / TR_TGT</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 / en</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Per-project, in project.conf. Use de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Per-project, in project.conf. Set if the client requires it</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TR_NUM_CTX</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8192</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v1</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Part of the cache key. Bump to force retranslation</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TR_OCR_LANGS</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slv+eng</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Tesseract languages. Add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bl>
    <w:p>
      <w:pPr>
        <w:spacing w:after="120" w:line="264"/>
      </w:pPr>
      <w:r>
        <w:rPr>
          <w:rFonts w:ascii="Calibri" w:cs="Calibri" w:eastAsia="Calibri" w:hAnsi="Calibri"/>
          <w:color w:val="1A1A1A"/>
          <w:sz w:val="21"/>
          <w:szCs w:val="21"/>
        </w:rPr>
        <w:t xml:space="preserve">For a 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berlin-2026</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~/translation-work/confidential-projects/berlin-2026/project.conf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 xml:space="preserve">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 xml:space="preserve">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 xml:space="preserve">deu+eng</w:t>
      </w:r>
    </w:p>
    <w:p>
      <w:pPr>
        <w:spacing w:after="120" w:line="264"/>
      </w:pPr>
      <w:r>
        <w:rPr>
          <w:rFonts w:ascii="Calibri" w:cs="Calibri" w:eastAsia="Calibri" w:hAnsi="Calibri"/>
          <w:color w:val="1A1A1A"/>
          <w:sz w:val="21"/>
          <w:szCs w:val="21"/>
        </w:rPr>
        <w:t xml:space="preserve">German is high-resource and well served by base Gemma; GaMS3 continual pre-training on Slovene may have eroded it. Compare against gemma3:12b on a German sample before relying on GaMS3 for that pair.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GaMS3-12B-Instruct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Slovene-specific; outperforms base Gemma 3 12B on EN→SL and rivals GPT-4o on the Slovene arena</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Listing them beside case numbers made two models read the rule two ways, one leaving Slovene in the output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Encrypted swap is the cheapest of the remaining mitigations if the risk is revisited</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cs="Calibri" w:eastAsia="Calibri" w:hAnsi="Calibri"/>
          <w:color w:val="1A1A1A"/>
          <w:sz w:val="21"/>
          <w:szCs w:val="21"/>
        </w:rPr>
        <w:t>Exercise open, close and the guard on the container before real data goes near it. The container now exists - LUKS2, 40 GB sparse, header backed up to ~/.case/header.bak - and has been verified closed, with the bare mountpoint made immutable so a stray write cannot land there. What has not been exercised is a full cycle with a project in it.</w:t>
      </w:r>
    </w:p>
    <w:p>
      <w:pPr>
        <w:pStyle w:val="ListParagraph"/>
        <w:numPr>
          <w:ilvl w:val="0"/>
          <w:numId w:val="2"/>
        </w:numPr>
        <w:spacing w:after="70" w:line="264"/>
      </w:pPr>
      <w:r>
        <w:rPr>
          <w:rFonts w:ascii="Calibri" w:cs="Calibri" w:eastAsia="Calibri" w:hAnsi="Calibri"/>
          <w:color w:val="1A1A1A"/>
          <w:sz w:val="21"/>
          <w:szCs w:val="21"/>
        </w:rPr>
        <w:t>Copy ~/.case/header.bak somewhere off this machine. A corrupted LUKS header means the data is unrecoverable even with the correct passphrase, because the header holds the encrypted master key.</w:t>
      </w:r>
    </w:p>
    <w:p>
      <w:pPr>
        <w:pStyle w:val="ListParagraph"/>
        <w:numPr>
          <w:ilvl w:val="0"/>
          <w:numId w:val="2"/>
        </w:numPr>
        <w:spacing w:after="70" w:line="264"/>
      </w:pPr>
      <w:r>
        <w:rPr>
          <w:rFonts w:ascii="Calibri" w:cs="Calibri" w:eastAsia="Calibri" w:hAnsi="Calibri"/>
          <w:color w:val="1A1A1A"/>
          <w:sz w:val="21"/>
          <w:szCs w:val="21"/>
        </w:rPr>
        <w:t>Decide whether the vision model earns a place in the OCR stage. It works - 97.3% on a rendered page, every case number, amount, date and diacritic exact, and it read a table correctly where the PDF text layer did not (S5.3). It costs about 6.7 minutes a page, so the question is which pages, not whether.</w:t>
      </w:r>
    </w:p>
    <w:p>
      <w:pPr>
        <w:pStyle w:val="ListParagraph"/>
        <w:numPr>
          <w:ilvl w:val="0"/>
          <w:numId w:val="2"/>
        </w:numPr>
        <w:spacing w:after="70" w:line="264"/>
      </w:pPr>
      <w:r>
        <w:rPr>
          <w:rFonts w:ascii="Calibri" w:cs="Calibri" w:eastAsia="Calibri" w:hAnsi="Calibri"/>
          <w:color w:val="1A1A1A"/>
          <w:sz w:val="21"/>
          <w:szCs w:val="21"/>
        </w:rPr>
        <w:t>Test the vision model on a real scan. The page it read was a clean render; evidence arrives skewed, speckled and stamped, and nothing here shows how it behaves on that.</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Seed the memory from the translator’s prior work if any exists (S4.4).</w:t>
      </w:r>
    </w:p>
    <w:p>
      <w:pPr>
        <w:pStyle w:val="ListParagraph"/>
        <w:numPr>
          <w:ilvl w:val="0"/>
          <w:numId w:val="2"/>
        </w:numPr>
        <w:spacing w:after="70" w:line="264"/>
      </w:pPr>
      <w:r>
        <w:rPr>
          <w:rFonts w:ascii="Calibri" w:cs="Calibri" w:eastAsia="Calibri" w:hAnsi="Calibri"/>
          <w:color w:val="1A1A1A"/>
          <w:sz w:val="21"/>
          <w:szCs w:val="21"/>
        </w:rPr>
        <w:t xml:space="preserve">Verify German quality against base Gemma before extending to that pair (S12).</w:t>
      </w:r>
    </w:p>
    <w:p>
      <w:pPr>
        <w:pStyle w:val="ListParagraph"/>
        <w:numPr>
          <w:ilvl w:val="0"/>
          <w:numId w:val="2"/>
        </w:numPr>
        <w:spacing w:after="70" w:line="264"/>
      </w:pPr>
      <w:r>
        <w:rPr>
          <w:rFonts w:ascii="Calibri" w:cs="Calibri" w:eastAsia="Calibri" w:hAnsi="Calibri"/>
          <w:color w:val="1A1A1A"/>
          <w:sz w:val="21"/>
          <w:szCs w:val="21"/>
        </w:rPr>
        <w:t>Settle the professional questions with the certifying translator. This item gates everything else.</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