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Version 1.4  ·  2026-09-10  ·  EN↔SL, EN↔DE  ·  hpelitebook8g1i16, Ubuntu 26.04</w:t>
      </w:r>
    </w:p>
    <w:p>
      <w:pPr>
        <w:spacing w:after="120" w:line="264"/>
      </w:pPr>
      <w:r>
        <w:rPr>
          <w:rFonts w:ascii="Calibri" w:cs="Calibri" w:eastAsia="Calibri" w:hAnsi="Calibri"/>
          <w:color w:val="1A1A1A"/>
          <w:sz w:val="21"/>
          <w:szCs w:val="21"/>
        </w:rPr>
        <w:t>This document consolidates and replaces the Hardware Assessment, Workflow Architecture, and Addenda 1 and 2. Version 1.3 revises it for the multi-project confidential layout, the encrypted container, and the Claude Code project location; version 1.4 adds English↔German.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1.1 The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git@github.com:hmbseaotter/offline-legal-translation.git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The alias matters. Scripts refer to models by alias, chosen by language pair in one table in lib/trlib.py — gams3:q8 for Slovene↔English, eurollm9b-2512:q8 for English↔German — so switching a model later is one tr-model invocation and one line in that table, rather than an edit in eight places. It also pins num_ctx and temperature so behavior does not drift with an Ollama upgrade.</w:t>
      </w:r>
    </w:p>
    <w:p>
      <w:pPr>
        <w:spacing w:after="120" w:line="264"/>
      </w:pPr>
      <w:r>
        <w:rPr>
          <w:rFonts w:ascii="Calibri" w:cs="Calibri" w:eastAsia="Calibri" w:hAnsi="Calibri"/>
          <w:color w:val="1A1A1A"/>
          <w:sz w:val="21"/>
          <w:szCs w:val="21"/>
        </w:rPr>
        <w:t>English↔German needs its own model, because German is absent from GaMS3's training. Register it only on a machine that will take such a matter: tr-model hf.co/mradermacher/EuroLLM-9B-Instruct-2512-GGUF:Q8_0 eurollm9b-2512:q8 (about 10 GB, once).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every file in source/</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--rescan</w:t>
      </w:r>
      <w:r>
        <w:rPr>
          <w:rFonts w:ascii="Consolas" w:hAnsi="Consolas"/>
          <w:color w:val="35322E"/>
          <w:sz w:val="17"/>
        </w:rPr>
        <w:t xml:space="preserve">     </w:t>
      </w:r>
      <w:r>
        <w:rPr>
          <w:rFonts w:ascii="Consolas" w:hAnsi="Consolas"/>
          <w:color w:val="8C8578"/>
          <w:sz w:val="17"/>
        </w:rPr>
        <w:t># re-examine files already recorded</w:t>
      </w:r>
    </w:p>
    <w:p>
      <w:pPr>
        <w:pBdr>
          <w:top w:val="single" w:color="E2D8C8" w:sz="2" w:space="3"/>
          <w:left w:val="single" w:color="C15E3C" w:sz="12" w:space="8"/>
        </w:pBdr>
        <w:shd w:fill="F7F2E9" w:val="clear"/>
        <w:spacing w:after="0" w:before="4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1F6E8C"/>
          <w:sz w:val="17"/>
        </w:rPr>
        <w:t>--no-ocr</w:t>
      </w:r>
      <w:r>
        <w:rPr>
          <w:rFonts w:ascii="Consolas" w:hAnsi="Consolas"/>
          <w:color w:val="35322E"/>
          <w:sz w:val="17"/>
        </w:rPr>
        <w:t xml:space="preserve">     </w:t>
      </w:r>
      <w:r>
        <w:rPr>
          <w:rFonts w:ascii="Consolas" w:hAnsi="Consolas"/>
          <w:color w:val="8C8578"/>
          <w:sz w:val="17"/>
        </w:rPr>
        <w:t>#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Reuse the translator’s prior work</w:t>
      </w:r>
    </w:p>
    <w:p>
      <w:pPr>
        <w:spacing w:after="120" w:line="264"/>
      </w:pPr>
      <w:r>
        <w:rPr>
          <w:rFonts w:ascii="Calibri" w:cs="Calibri" w:eastAsia="Calibri" w:hAnsi="Calibri"/>
          <w:color w:val="1A1A1A"/>
          <w:sz w:val="21"/>
          <w:szCs w:val="21"/>
        </w:rPr>
        <w:t>The metric is edits this particular translator makes. A draft that matches their established renderings and register produces fewer corrections than an objectively similar draft that does not, so earlier translations are probably the single highest-value input available.</w:t>
      </w:r>
    </w:p>
    <w:p>
      <w:pPr>
        <w:spacing w:after="120" w:line="264"/>
      </w:pPr>
      <w:r>
        <w:rPr>
          <w:rFonts w:ascii="Calibri" w:cs="Calibri" w:eastAsia="Calibri" w:hAnsi="Calibri"/>
          <w:color w:val="1A1A1A"/>
          <w:sz w:val="21"/>
          <w:szCs w:val="21"/>
        </w:rPr>
        <w:t>They go anywhere in the project’s reference/ folder, both files of a pair in the same folder and named alike apart from a language suffix: lease-2023_English.docx beside lease-2023_German.pdf. The suffix names a language, not a role, so the same pair serves English→German and German→English work. Each side may be Word, PDF with a text layer, scanned PDF or plain text, whatever the other side is; a file without a suffix is listed and skipped rather than guessed. tr-ref lines each pair up sentence by sentence without a model — by length, with the numbers both sides share as anchors — and keeps only one-to-one pairs whose numbers agree; a sentence with no number is kept only where its neighbours lined up one-to-one too. tr-run then gives an identical source sentence the translator’s rendering instead of a draft, and tr-terms --reference proposes the glossary from those renderings.</w:t>
      </w:r>
    </w:p>
    <w:p>
      <w:pPr>
        <w:spacing w:after="120" w:line="264"/>
      </w:pPr>
      <w:r>
        <w:rPr>
          <w:rFonts w:ascii="Calibri" w:cs="Calibri" w:eastAsia="Calibri" w:hAnsi="Calibri"/>
          <w:color w:val="1A1A1A"/>
          <w:sz w:val="21"/>
          <w:szCs w:val="21"/>
        </w:rPr>
        <w:t>German takes a variant after a hyphen: lease-2023_German-CH.pdf is Swiss German, _German-AT Austrian, and _German or _German-DE Germany. One English original beside a Germany and a Swiss translation makes two pairs. A German translation is reused only in a project whose TR_TGT is its variant; one in another variant is lined up and listed in pairs.tsv as not reused, and tr-terms --reference leaves it out, since a Germany translation would propose Straße to a Swiss glossary. A German→English project reuses a pair whatever German its source is written in.</w:t>
      </w:r>
    </w:p>
    <w:p>
      <w:pPr>
        <w:spacing w:after="120" w:line="264"/>
      </w:pPr>
      <w:r>
        <w:rPr>
          <w:rFonts w:ascii="Calibri" w:cs="Calibri" w:eastAsia="Calibri" w:hAnsi="Calibri"/>
          <w:color w:val="1A1A1A"/>
          <w:sz w:val="21"/>
          <w:szCs w:val="21"/>
        </w:rPr>
        <w:t>Everything kept is listed in work/reference/pairs.tsv, to be read before the first run, because every line there can reach a deliverable word for word. Two kinds are never reused: a sentence the references translate differently (tr-ref --conflicts), and a translation read by OCR, whose misreadings would pass straight into the output — those count for terminology only. References stay in their project: memory never crosses matters, and a reference is a client’s document.</w:t>
      </w:r>
    </w:p>
    <w:p>
      <w:pPr>
        <w:spacing w:after="120" w:line="264"/>
      </w:pPr>
      <w:r>
        <w:rPr>
          <w:rFonts w:ascii="Calibri" w:cs="Calibri" w:eastAsia="Calibri" w:hAnsi="Calibri"/>
          <w:color w:val="1A1A1A"/>
          <w:sz w:val="21"/>
          <w:szCs w:val="21"/>
        </w:rPr>
        <w:t>On invented test documents a Word pair kept 12 of 14 sentence pairs and a Word-to-PDF pair 4 of 6; the rest were rejected rather than guessed. A reused sentence is not checked by tr-lint: it is the translator’s own work, and it never enters the translation memory. Harvesting terminology from references needs volume — on seventeen pairs tr-terms --reference proposes mostly noise.</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hAnsi="Calibri"/>
          <w:color w:val="1A1A1A"/>
          <w:sz w:val="21"/>
        </w:rPr>
        <w:t xml:space="preserve">Check names, dates, case numbers and amounts against the page. Diacritics matter less than they look: a dropped caron usually leaves a non-word that Slovene spell-check flags, and the residue is the handful of pairs that are both real words. Numbers have no such safety net — a misread digit is a perfectly well-formed token, so nothing downstream will ever question it. Words Tesseract could not read at all are already marked </w:t>
      </w:r>
      <w:r>
        <w:rPr>
          <w:rFonts w:ascii="Calibri" w:hAnsi="Calibri"/>
          <w:color w:val="1A1A1A"/>
          <w:sz w:val="21"/>
        </w:rPr>
        <w:t>OCR_ILLEGIBLE</w:t>
      </w:r>
      <w:r>
        <w:rPr>
          <w:rFonts w:ascii="Calibri" w:hAnsi="Calibri"/>
          <w:color w:val="1A1A1A"/>
          <w:sz w:val="21"/>
        </w:rPr>
        <w:t xml:space="preserve"> by tr-ocrtext, which keeps the per-word confidence that pdftotext throws away. OCR output is cached, so stage 2 does not re-run it.</w:t>
      </w:r>
    </w:p>
    <w:p>
      <w:pPr>
        <w:spacing w:after="120" w:line="264"/>
      </w:pPr>
      <w:r>
        <w:rPr>
          <w:rFonts w:ascii="Calibri" w:hAnsi="Calibri"/>
          <w:color w:val="1A1A1A"/>
          <w:sz w:val="21"/>
        </w:rPr>
        <w:t>A second engine is the only check on a misread digit. A vision model reads a page by a completely different mechanism than Tesseract, so their failure modes are largely uncorrelated: where both produce the same number it is almost certainly right, and where they differ one of them is wrong. ocr-check.py runs both over the same pages and reports only counts — never document text — so its output is safe to discuss outside the container.</w:t>
      </w:r>
    </w:p>
    <w:p>
      <w:pPr>
        <w:spacing w:after="120" w:line="264"/>
      </w:pPr>
      <w:r>
        <w:rPr>
          <w:rFonts w:ascii="Calibri" w:hAnsi="Calibri"/>
          <w:b/>
          <w:color w:val="1A1A1A"/>
          <w:sz w:val="21"/>
        </w:rPr>
        <w:t>Measured on real evidence.</w:t>
      </w:r>
      <w:r>
        <w:rPr>
          <w:rFonts w:ascii="Calibri" w:hAnsi="Calibri"/>
          <w:color w:val="1A1A1A"/>
          <w:sz w:val="21"/>
        </w:rPr>
        <w:t xml:space="preserve"> deepseek-ocr:3b against Tesseract over eight pages of two scanned prosecution documents. Diacritics agreed almost exactly (64/64, 72/72, 83/83 on the pages carrying most of them), which settles whether a 3B model reads Slovene. Numbers are where it earns its keep: on seven pages the two engines agreed on every number, and on the eighth — the one page also carrying 27 low-confidence words and four hand-filled digit tokens — they disagreed on fourteen, none explainable as a formatting difference.</w:t>
      </w:r>
    </w:p>
    <w:p>
      <w:pPr>
        <w:spacing w:after="120" w:line="264"/>
      </w:pPr>
      <w:r>
        <w:rPr>
          <w:rFonts w:ascii="Calibri" w:hAnsi="Calibri"/>
          <w:color w:val="1A1A1A"/>
          <w:sz w:val="21"/>
        </w:rPr>
        <w:t>It costs about 3 minutes a page against seconds for Tesseract, so it is affordable on the pages that carry the risk and not across a whole corpus. That is what --gate decides: the vision pass runs only where the share of Tesseract words below the confidence floor reaches the threshold. The default of 3% comes from those eight pages — the page with fourteen disagreements sat at 5%, the clean ones at 0–2%. Two points is thin evidence; raise it if the second engine keeps confirming the first.</w:t>
      </w:r>
    </w:p>
    <w:p>
      <w:pPr>
        <w:spacing w:after="120" w:line="264"/>
      </w:pPr>
      <w:r>
        <w:rPr>
          <w:rFonts w:ascii="Calibri" w:hAnsi="Calibri"/>
          <w:color w:val="1A1A1A"/>
          <w:sz w:val="21"/>
        </w:rPr>
        <w:t>The third criterion is deliberately not a rate. A page can be 99% clean and still carry one wrong digit in an amount, and nothing downstream can catch it, so a disagreement is not a reason to stop the project - it is a page that gets read against the original. The first two thresholds come from eight pages of two real documents and are starting points with a stated basis, not laws. The Phase 1 files measured 1% and 3%.</w:t>
      </w:r>
    </w:p>
    <w:p>
      <w:pPr>
        <w:spacing w:after="120" w:line="264"/>
      </w:pPr>
      <w:r>
        <w:rPr>
          <w:rFonts w:ascii="Calibri" w:hAnsi="Calibri"/>
          <w:color w:val="1A1A1A"/>
          <w:sz w:val="21"/>
        </w:rPr>
        <w:t>tr-ocrstat answers this for a whole corpus rather than one file: it reports the unreadable-token rate per PDF, worst first, against the thresholds below, and exits non-zero if anything is in the stop band or any text layer cannot be measured. Use it before tr-run; use ocr-check.py on the individual pages whose numbers carry weight.</w:t>
      </w:r>
      <w:r>
        <w:rPr>
          <w:rFonts w:ascii="Calibri" w:hAnsi="Calibri"/>
          <w:color w:val="1A1A1A"/>
          <w:sz w:val="21"/>
        </w:rPr>
      </w:r>
    </w:p>
    <w:p>
      <w:pPr>
        <w:spacing w:after="120" w:line="264"/>
      </w:pPr>
      <w:r>
        <w:rPr>
          <w:rFonts w:ascii="Calibri" w:hAnsi="Calibri"/>
          <w:color w:val="1A1A1A"/>
          <w:sz w:val="21"/>
        </w:rPr>
        <w:t>A text layer written by an earlier tr-inventory --count --with-ocr cannot be measured. That version made it with plain pdftotext, so nothing in it is marked OCR_ILLEGIBLE, and tr-pdf reused it for translation. Such layers are recognisable — pdftotext leaves a form feed after every page, which neither tr-ocrtext nor the born-digital path writes — so tr-ocrstat names them rather than reporting 0%, and tr-pdf reads the file again, keeping the old layer as &lt;name&gt;.txt.unmarked. tr-inventory --with-ocr now has tr-pdf make every text layer.</w:t>
      </w:r>
      <w:r>
        <w:rPr>
          <w:rFonts w:ascii="Calibri" w:hAnsi="Calibri"/>
          <w:color w:val="1A1A1A"/>
          <w:sz w:val="21"/>
        </w:rPr>
      </w:r>
    </w:p>
    <w:p>
      <w:pPr>
        <w:spacing w:after="120" w:line="264"/>
      </w:pPr>
      <w:r>
        <w:rPr>
          <w:rFonts w:ascii="Calibri" w:hAnsi="Calibri"/>
          <w:b/>
          <w:color w:val="1A1A1A"/>
          <w:sz w:val="21"/>
        </w:rPr>
        <w:t>What counts as too poor to translate.</w:t>
      </w:r>
      <w:r>
        <w:rPr>
          <w:rFonts w:ascii="Calibri" w:hAnsi="Calibri"/>
          <w:color w:val="1A1A1A"/>
          <w:sz w:val="21"/>
        </w:rPr>
        <w:t xml:space="preserve"> Not a judgement call, because the measurements already exist. tr-ocrtext reports the share of tokens Tesseract scored below its confidence floor; ocr-check.py reports the share of doubtful words and the number disagreements between the two engines. Unreadable tokens: under 5% proceed, 5-20% inspect, 20% or more stop. Doubtful words: under 3% proceed, 3-10% run the cross-check, over 10% stop. Number disagreements: any at all, and a person reads that page.</w:t>
      </w:r>
    </w:p>
    <w:p>
      <w:pPr>
        <w:spacing w:after="120" w:line="264"/>
      </w:pPr>
      <w:r>
        <w:rPr>
          <w:rFonts w:ascii="Calibri" w:hAnsi="Calibri"/>
          <w:color w:val="1A1A1A"/>
          <w:sz w:val="21"/>
        </w:rPr>
        <w:t>The earlier figure of 6.7 minutes a page, and the caveat that only a clean render had been tested, both belonged to qwen3.6 and are superseded. The smaller purpose-built model is roughly thirty times faster on the same page and has now been run on real scans, skew, stamps and handwriting included.</w:t>
      </w:r>
    </w:p>
    <w:p>
      <w:pPr>
        <w:pBdr>
          <w:top w:val="single" w:color="E2D8C8" w:sz="2" w:space="3"/>
          <w:bottom w:val="single" w:color="E2D8C8" w:sz="2" w:space="3"/>
          <w:left w:val="single" w:color="C15E3C" w:sz="12" w:space="8"/>
        </w:pBdr>
        <w:shd w:fill="F7F2E9" w:val="clear"/>
        <w:spacing w:after="160" w:before="40" w:line="240"/>
        <w:ind w:left="259"/>
      </w:pPr>
      <w:r>
        <w:rPr>
          <w:rFonts w:ascii="Consolas" w:hAnsi="Consolas"/>
          <w:b/>
          <w:color w:val="A8432A"/>
          <w:sz w:val="17"/>
        </w:rPr>
        <w:t>ocr-check.py</w:t>
      </w:r>
      <w:r>
        <w:rPr>
          <w:rFonts w:ascii="Consolas" w:hAnsi="Consolas"/>
          <w:color w:val="35322E"/>
          <w:sz w:val="17"/>
        </w:rPr>
        <w:t xml:space="preserve"> </w:t>
      </w:r>
      <w:r>
        <w:rPr>
          <w:rFonts w:ascii="Consolas" w:hAnsi="Consolas"/>
          <w:color w:val="35322E"/>
          <w:sz w:val="17"/>
        </w:rPr>
        <w:t>source/zapisnik.pdf</w:t>
      </w:r>
      <w:r>
        <w:rPr>
          <w:rFonts w:ascii="Consolas" w:hAnsi="Consolas"/>
          <w:color w:val="35322E"/>
          <w:sz w:val="17"/>
        </w:rPr>
        <w:t xml:space="preserve"> </w:t>
      </w:r>
      <w:r>
        <w:rPr>
          <w:rFonts w:ascii="Consolas" w:hAnsi="Consolas"/>
          <w:color w:val="1F6E8C"/>
          <w:sz w:val="17"/>
        </w:rPr>
        <w:t>--pages</w:t>
      </w:r>
      <w:r>
        <w:rPr>
          <w:rFonts w:ascii="Consolas" w:hAnsi="Consolas"/>
          <w:color w:val="35322E"/>
          <w:sz w:val="17"/>
        </w:rPr>
        <w:t xml:space="preserve"> </w:t>
      </w:r>
      <w:r>
        <w:rPr>
          <w:rFonts w:ascii="Consolas" w:hAnsi="Consolas"/>
          <w:color w:val="35322E"/>
          <w:sz w:val="17"/>
        </w:rPr>
        <w:t>2</w:t>
      </w:r>
      <w:r>
        <w:rPr>
          <w:rFonts w:ascii="Consolas" w:hAnsi="Consolas"/>
          <w:color w:val="35322E"/>
          <w:sz w:val="17"/>
        </w:rPr>
        <w:t xml:space="preserve">   </w:t>
      </w:r>
      <w:r>
        <w:rPr>
          <w:rFonts w:ascii="Consolas" w:hAnsi="Consolas"/>
          <w:color w:val="8C8578"/>
          <w:sz w:val="17"/>
        </w:rPr>
        <w:t># both engines, then compare</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spacing w:after="120" w:line="264"/>
      </w:pPr>
      <w:r>
        <w:rPr>
          <w:rFonts w:ascii="Calibri" w:hAnsi="Calibri"/>
          <w:color w:val="1A1A1A"/>
          <w:sz w:val="21"/>
        </w:rPr>
        <w:t>tools/phase1-setup.sh runs the whole sequence rather than leaving it to be reassembled from these steps. It expects two sets of three pages prepared beforehand — source/phase1/mt/ to be machine-drafted and source/phase1/scratch/ translated cold — and it refuses to continue past the OCR stage until the text layer has been looked at, because on a corpus of scans an unverified draft measures Tesseract rather than the tooling. The two sets must not share content: whichever is done second is faster for having been read already, and the ratio would record that instead.</w:t>
      </w:r>
    </w:p>
    <w:p>
      <w:pPr>
        <w:pBdr>
          <w:bottom w:val="single" w:color="E2D8C8" w:sz="2" w:space="3"/>
          <w:left w:val="single" w:color="C15E3C" w:sz="12" w:space="8"/>
        </w:pBdr>
        <w:shd w:fill="F7F2E9" w:val="clear"/>
        <w:spacing w:after="160" w:before="0" w:line="240"/>
        <w:ind w:left="259"/>
      </w:pPr>
      <w:r>
        <w:rPr>
          <w:rFonts w:ascii="Consolas" w:hAnsi="Consolas"/>
          <w:b/>
          <w:color w:val="A8432A"/>
          <w:sz w:val="17"/>
        </w:rPr>
        <w:t>tools/phase1-setup.sh</w:t>
      </w:r>
    </w:p>
    <w:p>
      <w:pPr>
        <w:spacing w:after="120" w:line="264"/>
      </w:pPr>
      <w:r>
        <w:rPr>
          <w:rFonts w:ascii="Calibri" w:hAnsi="Calibri"/>
          <w:color w:val="1A1A1A"/>
          <w:sz w:val="21"/>
        </w:rPr>
        <w:t>Record the timings in tools/phase1-tally.tsv, which holds minutes per page and a reason for each edit — terminology, register, numbers, additions, OCR — and no document text, so it can be discussed outside the container.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hAnsi="Consolas"/>
          <w:b/>
          <w:color w:val="A8432A"/>
          <w:sz w:val="17"/>
        </w:rPr>
        <w:t>tr-inventory</w:t>
      </w:r>
      <w:r>
        <w:rPr>
          <w:rFonts w:ascii="Consolas" w:hAnsi="Consolas"/>
          <w:color w:val="35322E"/>
          <w:sz w:val="17"/>
        </w:rPr>
        <w:t xml:space="preserve">               </w:t>
      </w:r>
      <w:r>
        <w:rPr>
          <w:rFonts w:ascii="Consolas" w:hAnsi="Consolas"/>
          <w:color w:val="8C8578"/>
          <w:sz w:val="17"/>
        </w:rPr>
        <w:t>#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hAnsi="Calibri"/>
          <w:b/>
          <w:color w:val="1A1A1A"/>
          <w:sz w:val="21"/>
        </w:rPr>
        <w:t>Closing does not delete anything.</w:t>
      </w:r>
      <w:r>
        <w:rPr>
          <w:rFonts w:ascii="Calibri" w:hAnsi="Calibri"/>
          <w:color w:val="1A1A1A"/>
          <w:sz w:val="21"/>
        </w:rPr>
        <w:t xml:space="preserve"> case-close unmounts the container; it does not empty it. Every source, draft and memory entry is still inside the container file and returns unchanged at the next case-open — the mountpoint only looks empty because nothing is mounted there. The other half of that is retention: a finished matter stays in the container at full size until someone opens it and deletes the project directory by hand. No script removes client work, so deciding when a matter should stop being held is a manual step (container document S4.5).</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A file is re-translated if its source is newer than its output, or if the existing output was produced by a different model or a superseded prompt. tr-run records which model and prompt version wrote each deliverable in work/deliverables.tsv and compares them on the next run, printing a redo line that names both. The prompt version is not typed by anyone: it is derived from the prompt text each language pair is actually sent, so editing prompts/translate.txt gives the pairs whose text changed a new version and leaves the others alone. The Slovene↔English text in use since v6 keeps that name. That condition was missing until it mattered: the prompt version is part of the memory's key, but tr-run skipped the whole file on mtime alone, before the memory was consulted, so a bump changed nothing. A prompt correction followed by a re-run reported three files skipped in three seconds and left the defective drafts in place.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hAnsi="Consolas"/>
          <w:color w:val="8A4B9E"/>
          <w:sz w:val="17"/>
        </w:rPr>
        <w:t>TR_PROMPT_VERSION=</w:t>
      </w:r>
      <w:r>
        <w:rPr>
          <w:rFonts w:ascii="Consolas" w:hAnsi="Consolas"/>
          <w:color w:val="35322E"/>
          <w:sz w:val="17"/>
        </w:rPr>
        <w:t>redo-2026-08</w:t>
      </w:r>
      <w:r>
        <w:rPr>
          <w:rFonts w:ascii="Consolas" w:hAnsi="Consolas"/>
          <w:color w:val="35322E"/>
          <w:sz w:val="17"/>
        </w:rPr>
        <w:t xml:space="preserve"> </w:t>
      </w:r>
      <w:r>
        <w:rPr>
          <w:rFonts w:ascii="Consolas" w:hAnsi="Consolas"/>
          <w:color w:val="35322E"/>
          <w:sz w:val="17"/>
        </w:rPr>
        <w:t>tr-run</w:t>
      </w:r>
      <w:r>
        <w:rPr>
          <w:rFonts w:ascii="Consolas" w:hAnsi="Consolas"/>
          <w:color w:val="35322E"/>
          <w:sz w:val="17"/>
        </w:rPr>
        <w:t xml:space="preserve">          </w:t>
      </w:r>
      <w:r>
        <w:rPr>
          <w:rFonts w:ascii="Consolas" w:hAnsi="Consolas"/>
          <w:color w:val="8C8578"/>
          <w:sz w:val="17"/>
        </w:rPr>
        <w:t># any unused value; ignore memory</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LONG</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target is far longer than the source, or runs to several lines where the source is one: text the model added. On a bare heading that can be a whole invented paragraph. tr-run refuses such replies; this finds any already in a memory</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root holding all projects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TR_ROOT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(active project)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(by language pair)</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Overrides the model chosen for the pair: gams3:q8 for sl↔en, eurollm9b-2512:q8 for en↔de, none for sl↔de. Set it in a project's project.conf, not in ~/.bashrc</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TR_SRC / TR_TGT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 / en</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Any two of sl, en, de. TR_TGT may name a German variant: de-DE (the same as de), de-AT or de-CH. tr-ref and tr-terms read the last two; drafting into them is refused until their conventions are built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Per-project, in project.conf. Set if the client requires it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TR_NUM_CTX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8192</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(from the prompt text)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Override only. Derived per pair from the prompt text actually sent, so editing the prompt changes it; sl↔en is v6</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of the source documents: eng for an English drop,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deepseek-ocr:3b</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Second OCR engine used by ocr-check.py. qwen3.6 is the fallback</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TR_VISION_PROMPT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Extract the text in the image.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for that model. It transcribes; it does not follow instructions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TR_OCR_MIN_CONF</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40</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confidence floor in tr-ocrtext. Below it, a word is marked unreadable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TR_ILLEGIBLE_MARK</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tr-ocrtext writes in place of a word it could not read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CLAUDE_DESKTOP_BIN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/usr/bin/claude-desktop</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real binary case-guard-desktop launches once it has checked the mount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bl>
    <w:p>
      <w:pPr>
        <w:spacing w:after="120" w:line="264"/>
      </w:pPr>
      <w:r>
        <w:rPr>
          <w:rFonts w:ascii="Calibri" w:cs="Calibri" w:eastAsia="Calibri" w:hAnsi="Calibri"/>
          <w:color w:val="1A1A1A"/>
          <w:sz w:val="21"/>
          <w:szCs w:val="21"/>
        </w:rPr>
        <w:t>For an English→German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example-en-de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~/translation-work/confidential-projects/example-en-de/project.conf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en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de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eng</w:t>
      </w:r>
    </w:p>
    <w:p>
      <w:pPr>
        <w:spacing w:after="120" w:line="264"/>
      </w:pPr>
      <w:r>
        <w:rPr>
          <w:rFonts w:ascii="Calibri" w:cs="Calibri" w:eastAsia="Calibri" w:hAnsi="Calibri"/>
          <w:color w:val="1A1A1A"/>
          <w:sz w:val="21"/>
          <w:szCs w:val="21"/>
        </w:rPr>
        <w:t>Nothing else is set: the model follows the pair. GaMS3 translates Slovene↔English; EuroLLM-9B-Instruct-2512 (Q8_0) translates English↔German, because German is absent from every stage of GaMS3's training. tr-run names the model in its banner and refuses to start when it is not installed. Slovene↔German has no model chosen and refuses to translate.</w:t>
      </w:r>
    </w:p>
    <w:p>
      <w:pPr>
        <w:spacing w:after="120" w:line="264"/>
      </w:pPr>
      <w:r>
        <w:rPr>
          <w:rFonts w:ascii="Calibri" w:cs="Calibri" w:eastAsia="Calibri" w:hAnsi="Calibri"/>
          <w:color w:val="1A1A1A"/>
          <w:sz w:val="21"/>
          <w:szCs w:val="21"/>
        </w:rPr>
        <w:t>TR_TGT=de is German as written in Germany, and de-DE means the same, so a project may use either without touching its translation memory. de-AT and de-CH are recognised: tr-ref files reference translations in them and tr-terms --reference reads them. tr-run and the workers refuse to draft into them, because the prompt and the conversion of dates, amounts and times follow Germany, and a Swiss draft made by those rules would read as finished. TR_SRC takes no variant; a Swiss German source is de.</w:t>
      </w:r>
    </w:p>
    <w:p>
      <w:pPr>
        <w:spacing w:after="120" w:line="264"/>
      </w:pPr>
      <w:r>
        <w:rPr>
          <w:rFonts w:ascii="Calibri" w:cs="Calibri" w:eastAsia="Calibri" w:hAnsi="Calibri"/>
          <w:color w:val="1A1A1A"/>
          <w:sz w:val="21"/>
          <w:szCs w:val="21"/>
        </w:rPr>
        <w:t>Measured on this machine with invented English legal text: about 10 seconds a segment over 42 requests, none failed, against 48 for GaMS3. Unlike GaMS3, most of that is generation, at 3 tokens a second, rather than reading the prompt, so batching short segments saves less. Two cautions from the same runs. A bare label or heading is where the model invents: "Case number" came back as a fictitious German court reference, and the heading STATEMENT as a whole invented declaration. tr-run gives such a reply one firmer retry — a reply far longer than its source, or one carrying a number the source does not have. A reply still far too long after it is written as [TRANSLATION FAILED]; one still carrying an extra number is kept and reported by tr-lint as NUM, because "dva tedna" rendered as "2 weeks" adds a digit without adding anything false. Over eight number-prone labels, three replies invented something and none did after the retry. And no German draft has yet been reviewed by a translator.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GaMS3-12B-Instruct for sl↔en; EuroLLM-9B-Instruct-2512 for en↔de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GaMS3 is Slovene-specific; outperforms base Gemma 3 12B on EN→SL and rivals GPT-4o on the Slovene arena. German is absent from its training, so English↔German goes to EuroLLM, which covers every EU official language and has translation in its instruction tuning. The model is chosen by pair in trlib, so a German project cannot fall back to GaMS3 unnoticed</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 source bracketed on first mention per document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so it is translated - listing them beside case numbers had made two models read that rule two ways, one leaving Slovene in the output. The source form is kept in parentheses on the first mention in each document and dropped thereafter, because a reader may open any file first and each has to stand on its own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 accepted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and stays that way. Retrofitting means re-encrypting in place or reinstalling, and the container is what actually protects the case material at rest. Accepted residual risk, named so it is not rediscovered as a surprise: swap, temporary files, and anything copied out for review are in the clear, as is everything while the container is open. One part of that has since been closed rather than accepted: OCR renders every page of a scan to a PNG, and on an all-scanned corpus that put the whole evidence bundle through /tmp - tmpfs, so RAM-backed and swappable to the plain 8 GB swapfile, and left behind entirely when a run is killed before its cleanup. Those renders now go to &lt;project&gt;/work/tmp inside the container (trlib.case_tmpdir). Encrypted swap is the cheapest of the remaining mitigations if the rest is revisited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Machine-assisted drafts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Permitted, no disclosure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what counts is the final product, not how it was produced. Most of the trade already edits machine output. No obligation to tell the court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Confidentiality</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Premises, not paperwork</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Acceptable so long as the texts never leave the translator's premises, and no visitors are received there. Nothing needed in writing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Transfer to translator</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USB stick, hand-carried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Machines sit on adjacent tables. The translator judges the crossing not a practical risk; it is the one point where material leaves the container, so it is written down rather than assumed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Billing unit</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Source words</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What tr-inventory --count reports. Segments are counted alongside because they govern machine time, which is a different question from what is owed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Files not in the source language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Excluded from work and billing</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Which is why triage tracks them: by-lang/*.txt locates them so they can be pulled out before translation starts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Quoted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Render only what is present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Never completed from the instrument's official text. Where no established translation exists the source is left with a visible marker, and the translator supplies the wording</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Acronym expansion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Footnote, not inline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Expanding KZ-1 in the body harms readability and spacing. A footnote mark carries the full form</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Illegible source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OCR_ILLEGIBLE</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 confirmed the convention; the spelling then changed. [ILLEGIBLE] cannot be selected with a double-click, because word selection stops at the brackets and leaves them behind after a paste - an unwelcome complication for the person replacing every one of them by hand. OCR_ILLEGIBLE selects whole, since underscore is a word character, and unlike _ILLEGIBLE_ it has no leading or trailing underscore for Word or LibreOffice to autoformat into underlining. Override with TR_ILLEGIBLE_MARK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Certification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Batch form, stamp on paper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No per-document certification block. .docx primary, .pdf acceptable, .xlsx for tables since text formats handle them poorly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Language pairs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sl↔en and en↔de; sl↔de not yet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Every one of the three can be source or target. Slovene↔German has no model chosen and refuses to translate: the model researched for it is not installed, and pivoting through English doubles the error</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Prompt version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Derived from the prompt 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hand-bumped string invalidated every pair at once and could be forgotten. A hash of the text each pair is actually sent changes exactly when that text does. The two v6 texts keep the name v6, so existing memory stays valid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Reference translations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Reused when identical and agreed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An identical source sentence takes the translator's own rendering with no model call. Only one-to-one pairs whose numbers agree are kept; disagreeing references and OCR-read translations are never reused verbatim. They stay in their project, because memory never crosses matters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German variants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target setting; plain de is Germany</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TR_TGT names de-DE, de-AT or de-CH, and de-DE is read as de, so a Germany project keeps its memory however the target is spelled. Swiss and Austrian drafts are refused until their conventions are built, rather than written by Germany's. A reference translation is reused only in its own variant, because renderings in two variants differ as a matter of course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hAnsi="Calibri"/>
          <w:color w:val="1A1A1A"/>
          <w:sz w:val="21"/>
        </w:rPr>
        <w:t>Exercise a full open/close cycle with a project in the container. The container exists - LUKS2, 40 GB sparse, header backed up to ~/.case/header.bak - has been opened and closed repeatedly with a real project in it, and both guards have been seen to refuse. The bare mountpoint is immutable so a stray write cannot land there. What remains is a full translate-and-deliver pass, which Phase 1 provides.</w:t>
      </w:r>
    </w:p>
    <w:p>
      <w:pPr>
        <w:pStyle w:val="ListParagraph"/>
        <w:numPr>
          <w:ilvl w:val="0"/>
          <w:numId w:val="2"/>
        </w:numPr>
        <w:spacing w:after="70" w:line="264"/>
      </w:pPr>
      <w:r>
        <w:rPr>
          <w:rFonts w:ascii="Calibri" w:cs="Calibri" w:eastAsia="Calibri" w:hAnsi="Calibri"/>
          <w:color w:val="1A1A1A"/>
          <w:sz w:val="21"/>
          <w:szCs w:val="21"/>
        </w:rPr>
        <w:t>Copy ~/.case/header.bak somewhere off this machine. A corrupted LUKS header means the data is unrecoverable even with the correct passphrase, because the header holds the encrypted master key.</w:t>
      </w:r>
    </w:p>
    <w:p>
      <w:pPr>
        <w:pStyle w:val="ListParagraph"/>
        <w:numPr>
          <w:ilvl w:val="0"/>
          <w:numId w:val="2"/>
        </w:numPr>
        <w:spacing w:after="70" w:line="264"/>
      </w:pPr>
      <w:r>
        <w:rPr>
          <w:rFonts w:ascii="Calibri" w:hAnsi="Calibri"/>
          <w:color w:val="1A1A1A"/>
          <w:sz w:val="21"/>
        </w:rPr>
        <w:t>Calibrate the vision gate on more than two pages. The vision model has earned its place: over eight pages of real scans it agreed with Tesseract on every number except on the one page where fourteen disagreed, and that page was also the one Tesseract itself was least sure of (S5.3). --gate now defaults to 3%, drawn from a 5%-doubtful page that needed the check and 0-2% pages that did not. More pages would firm that line up.</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Measure reference reuse on a real matter: how many source sentences are reused, and how often pairs.tsv needs correcting (S4.4).</w:t>
      </w:r>
    </w:p>
    <w:p>
      <w:pPr>
        <w:pStyle w:val="ListParagraph"/>
        <w:numPr>
          <w:ilvl w:val="0"/>
          <w:numId w:val="2"/>
        </w:numPr>
        <w:spacing w:after="70" w:line="264"/>
      </w:pPr>
      <w:r>
        <w:rPr>
          <w:rFonts w:ascii="Calibri" w:cs="Calibri" w:eastAsia="Calibri" w:hAnsi="Calibri"/>
          <w:color w:val="1A1A1A"/>
          <w:sz w:val="21"/>
          <w:szCs w:val="21"/>
        </w:rPr>
        <w:t>Have a translator review English→German drafts. EuroLLM is measured for speed and ran without a failed request, but no German output has been reviewed yet (S12).</w:t>
      </w:r>
    </w:p>
    <w:p>
      <w:pPr>
        <w:pStyle w:val="ListParagraph"/>
        <w:numPr>
          <w:ilvl w:val="0"/>
          <w:numId w:val="2"/>
        </w:numPr>
        <w:spacing w:after="70" w:line="264"/>
      </w:pPr>
      <w:r>
        <w:rPr>
          <w:rFonts w:ascii="Calibri" w:cs="Calibri" w:eastAsia="Calibri" w:hAnsi="Calibri"/>
          <w:color w:val="1A1A1A"/>
          <w:sz w:val="21"/>
          <w:szCs w:val="21"/>
        </w:rPr>
        <w:t>Run Phase 1 on a small subset of the real assignment. The translator's preference: real material, so no work is wasted. This is now the gating item - the professional questions are answered and recorded in S13.</w:t>
      </w:r>
    </w:p>
    <w:p>
      <w:pPr>
        <w:pStyle w:val="ListParagraph"/>
        <w:numPr>
          <w:ilvl w:val="0"/>
          <w:numId w:val="2"/>
        </w:numPr>
        <w:spacing w:after="70" w:line="264"/>
      </w:pPr>
      <w:r>
        <w:rPr>
          <w:rFonts w:ascii="Calibri" w:cs="Calibri" w:eastAsia="Calibri" w:hAnsi="Calibri"/>
          <w:color w:val="1A1A1A"/>
          <w:sz w:val="21"/>
          <w:szCs w:val="21"/>
        </w:rPr>
        <w:t>While editing the Phase 1 pages, tally why each edit was made: terminology, register, numbers, additions, omission, formatting. The ratio says whether to proceed; the tally says whether a poor ratio is fixable. Terminology is cheap to fix and there is no glossary yet, so a bad number driven by terminology is a different verdict from the same number driven by register.</w:t>
      </w:r>
    </w:p>
    <w:p>
      <w:pPr>
        <w:pStyle w:val="ListParagraph"/>
        <w:numPr>
          <w:ilvl w:val="0"/>
          <w:numId w:val="2"/>
        </w:numPr>
        <w:spacing w:after="70" w:line="264"/>
      </w:pPr>
      <w:r>
        <w:rPr>
          <w:rFonts w:ascii="Calibri" w:cs="Calibri" w:eastAsia="Calibri" w:hAnsi="Calibri"/>
          <w:color w:val="1A1A1A"/>
          <w:sz w:val="21"/>
          <w:szCs w:val="21"/>
        </w:rPr>
        <w:t>Build the visible marker for quoted provisions with no established translation (S8.1). The trigger needs settling: on a first run the memory is empty, so a naive rule marks every citation.</w:t>
      </w:r>
    </w:p>
    <w:p>
      <w:pPr>
        <w:pStyle w:val="ListParagraph"/>
        <w:numPr>
          <w:ilvl w:val="0"/>
          <w:numId w:val="2"/>
        </w:numPr>
        <w:spacing w:after="70" w:line="264"/>
      </w:pPr>
      <w:r>
        <w:rPr>
          <w:rFonts w:ascii="Calibri" w:cs="Calibri" w:eastAsia="Calibri" w:hAnsi="Calibri"/>
          <w:color w:val="1A1A1A"/>
          <w:sz w:val="21"/>
          <w:szCs w:val="21"/>
        </w:rPr>
        <w:t>Expand acronyms by footnote rather than inline. python-docx has no footnote API, so this means writing the XML directly.</w:t>
      </w:r>
    </w:p>
    <w:p>
      <w:pPr>
        <w:pStyle w:val="ListParagraph"/>
        <w:numPr>
          <w:ilvl w:val="0"/>
          <w:numId w:val="2"/>
        </w:numPr>
        <w:spacing w:after="70" w:line="264"/>
      </w:pPr>
      <w:r>
        <w:rPr>
          <w:rFonts w:ascii="Calibri" w:cs="Calibri" w:eastAsia="Calibri" w:hAnsi="Calibri"/>
          <w:color w:val="1A1A1A"/>
          <w:sz w:val="21"/>
          <w:szCs w:val="21"/>
        </w:rPr>
        <w:t>Locale conversion covers English→German only among the German pairs. Slovene↔German and German→English dates and amounts are left to the model, and Slovene↔German still needs a model chosen.</w:t>
      </w:r>
    </w:p>
    <w:p>
      <w:pPr>
        <w:pStyle w:val="ListParagraph"/>
        <w:numPr>
          <w:ilvl w:val="0"/>
          <w:numId w:val="2"/>
        </w:numPr>
        <w:spacing w:after="70" w:line="264"/>
      </w:pPr>
      <w:r>
        <w:rPr>
          <w:rFonts w:ascii="Calibri" w:cs="Calibri" w:eastAsia="Calibri" w:hAnsi="Calibri"/>
          <w:color w:val="1A1A1A"/>
          <w:sz w:val="21"/>
          <w:szCs w:val="21"/>
        </w:rPr>
        <w:t>Build Swiss German drafting (S12). de-CH is recognised but refused: Swiss amounts, times and ß differ from Germany's in ways a deliverable shows, and the prompt, the date and amount conversion and the number checks all follow Germany. de-AT has no conventions settled yet.</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