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1.3  ·  2026-08-02  ·  EN↔SL (DE later)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tr-pdf reads the file again, keeping the old layer as &lt;name&gt;.txt.unmarked. tr-inventory --with-ocr now has tr-pdf make every text layer.</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That condition was missing until it mattered: TR_PROMPT_VERSION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Model alias used by every script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v6</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Part of the cache key. Bump to force retranslation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en, de - all six directions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is not needed yet but will be. Every one of the three can be source or target</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Extend the locale rules to German before that pair is used: it keeps the 24-hour clock and writes 5. Maerz 2024. Six directions are in scope across Slovene, English and German.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