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a sentence with no number is kept only where its neighbours lined up one-to-one too.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German→English project reuses a pair whatever German its source is written in.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test documents a Word pair kept 12 of 14 sentence pairs and a Word-to-PDF pair 4 of 6; the rest were rejected rather than guessed.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 TR_TGT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the model left in English form, and to spelling. A number counts as money only beside a currency, because a converter cannot see the column it stands in. de-AT is recognised — tr-ref files references in it and tr-terms --reference reads them — but drafting into it is refused until its conventions are settled. TR_SRC takes no variant; a Swiss German source is de.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and German→English dates and amounts are left to the model, and Slovene↔German still needs a model chosen.</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