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Everything kept is listed in work/reference/pairs.tsv, to be read before the first run, because every line there can reach a deliverable word for word. Two kinds are never reused: a sentence the references translate differently (tr-ref --conflicts), and a translation read by OCR, whose misreadings would pass straight into the output — those count for terminology only.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is where the model invents: "Case number" once came back as a complete, fictitious German court reference. tr-lint reports that as a number not in the source, which is why its NUM findings come first.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disagreeing references and OCR-read translations are never reused verbatim. They stay in their project, because memory never crosses matters</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only among the German pairs. Slovene↔German and German→English dates and amounts are left to the model, and Slovene↔German still needs a model chosen.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