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 xml:space="preserve">Version 1.2  ·  2026-08-01  ·  EN↔SL (DE later)  ·  hpelitebook8g1i16, Ubuntu 26.04</w:t>
      </w:r>
    </w:p>
    <w:p>
      <w:pPr>
        <w:spacing w:after="120" w:line="264"/>
      </w:pPr>
      <w:r>
        <w:rPr>
          <w:rFonts w:ascii="Calibri" w:cs="Calibri" w:eastAsia="Calibri" w:hAnsi="Calibri"/>
          <w:color w:val="1A1A1A"/>
          <w:sz w:val="21"/>
          <w:szCs w:val="21"/>
        </w:rPr>
        <w:t xml:space="preserve">This document consolidates and replaces the Hardware Assessment, Workflow Architecture, and Addenda 1 and 2. Version 1.2 revises it for the multi-project confidential layout, the encrypted container, and the Claude Code project location.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 xml:space="preserve">1.1 The four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~/Claude_Stuff/cli_projects/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KIT=~/Claude_Stuff/cli_projects/translation-tools'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Claude_Stuff/cli_projects/ also puts all Claude Code work in one place.</w:t>
      </w:r>
    </w:p>
    <w:p>
      <w:pPr>
        <w:spacing w:after="120" w:line="264"/>
      </w:pPr>
      <w:r>
        <w:rPr>
          <w:rFonts w:ascii="Calibri" w:cs="Calibri" w:eastAsia="Calibri" w:hAnsi="Calibri"/>
          <w:color w:val="1A1A1A"/>
          <w:sz w:val="21"/>
          <w:szCs w:val="21"/>
        </w:rPr>
        <w:t xml:space="preserve">Nothing in the kit hardcodes its own location — every script derives it at run time — so the directory can be renamed or moved without edits.</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unzip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translation-tools.zip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 xml:space="preserve">The alias matters. Every script refers to gams3:q8, so switching models later is one tr-model invocation rather than an edit in eight places. It also pins num_ctx and temperature so behavior does not drift with an Ollama upgrade.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 xml:space="preserve">If that returns nothing, the installation is unencrypted. Retrofitting is disruptive; an encrypted container holding only ~/translate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Expect roughly 4 tokens per second generation on this hardware. Prefill will be considerably faster.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 xml:space="preserve">These three inputs determine output quality far more than any model setting. None can be automated, and all should be settled before the corpus is processed.</w:t>
      </w:r>
    </w:p>
    <w:p>
      <w:pPr>
        <w:pStyle w:val="Heading2"/>
        <w:spacing w:after="130" w:before="250"/>
      </w:pPr>
      <w:r>
        <w:rPr>
          <w:rFonts w:ascii="Calibri" w:cs="Calibri" w:eastAsia="Calibri" w:hAnsi="Calibri"/>
          <w:b/>
          <w:bCs/>
          <w:color w:val="1A1A1A"/>
          <w:sz w:val="24"/>
          <w:szCs w:val="24"/>
        </w:rPr>
        <w:t xml:space="preserve">4.1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 xml:space="preserve">4.2 Non-translatables</w:t>
      </w:r>
    </w:p>
    <w:p>
      <w:pPr>
        <w:spacing w:after="120" w:line="264"/>
      </w:pPr>
      <w:r>
        <w:rPr>
          <w:rFonts w:ascii="Calibri" w:cs="Calibri" w:eastAsia="Calibri" w:hAnsi="Calibri"/>
          <w:color w:val="1A1A1A"/>
          <w:sz w:val="21"/>
          <w:szCs w:val="21"/>
        </w:rPr>
        <w:t xml:space="preserve">Regex patterns in nontranslatable.txt mark strings reproduced verbatim: case numbers, file references, dates, amounts, statute short forms. Defaults for Slovene court formats are supplied. Every one of these the model would otherwise "helpfully" translate is a guaranteed edit at a known location, so catching them in code is free quality.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 xml:space="preserve">4.3 Seed the memory with the translator’s prior work</w:t>
      </w:r>
    </w:p>
    <w:p>
      <w:pPr>
        <w:spacing w:after="120" w:line="264"/>
      </w:pPr>
      <w:r>
        <w:rPr>
          <w:rFonts w:ascii="Calibri" w:cs="Calibri" w:eastAsia="Calibri" w:hAnsi="Calibri"/>
          <w:color w:val="1A1A1A"/>
          <w:sz w:val="21"/>
          <w:szCs w:val="21"/>
        </w:rPr>
        <w:t xml:space="preserve">The metric is edits this particular translator makes. If any prior EN↔SL legal translations exist, aligning them into the memory means drafts arrive already using their established renderings and register. A draft that matches their habits produces fewer corrections than an objectively similar draft that does not. This is probably the single highest-value input available and costs one conversation plus an alignment pass.</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cs="Calibri" w:eastAsia="Calibri" w:hAnsi="Calibri"/>
          <w:color w:val="1A1A1A"/>
          <w:sz w:val="21"/>
          <w:szCs w:val="21"/>
        </w:rPr>
        <w:t xml:space="preserve">Check names, dates, case numbers, amounts, and the characters č, š, ž specifically. Mangled diacritics can still produce valid Slovene words, so no spell-check will catch them. OCR output is cached, so stage 2 does not re-run it.</w:t>
      </w:r>
    </w:p>
    <w:p>
      <w:pPr>
        <w:spacing w:after="120" w:line="264"/>
      </w:pPr>
      <w:r>
        <w:rPr>
          <w:rFonts w:ascii="Calibri" w:cs="Calibri" w:eastAsia="Calibri" w:hAnsi="Calibri"/>
          <w:color w:val="1A1A1A"/>
          <w:sz w:val="21"/>
          <w:szCs w:val="21"/>
        </w:rPr>
        <w:t xml:space="preserve">A second engine is worth adding if scan quality is poor. The installed Qwen model reports a vision capability; a vision model reads a page by a completely different mechanism than Tesseract, so their failure modes are largely uncorrelated. Run both, compare only the numbers, dates, and capitalized tokens, and inspect where they disagree. Test that vision input works before designing around it:</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qwen3.6</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"Transcribe this page verbatim."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./page.png</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cs="Calibri" w:eastAsia="Calibri" w:hAnsi="Calibri"/>
          <w:color w:val="1A1A1A"/>
          <w:sz w:val="21"/>
          <w:szCs w:val="21"/>
        </w:rPr>
        <w:t xml:space="preserve">tr-run is resumable at two levels. It skips files already present in translated/, and within a file every segment already in the memory is reused rather than regenerated. Interrupting it costs at most one segment. Re-running after editing the glossary is cheap for the same reason.</w:t>
      </w:r>
    </w:p>
    <w:p>
      <w:pPr>
        <w:spacing w:after="120" w:line="264"/>
      </w:pPr>
      <w:r>
        <w:rPr>
          <w:rFonts w:ascii="Calibri" w:cs="Calibri" w:eastAsia="Calibri" w:hAnsi="Calibri"/>
          <w:color w:val="1A1A1A"/>
          <w:sz w:val="21"/>
          <w:szCs w:val="21"/>
        </w:rPr>
        <w:t xml:space="preserve">A file is re-translated only if its source is newer than its output. To force a redo, delete the output.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TR_PROMPT_VERSION=</w:t>
      </w:r>
      <w:r>
        <w:rPr>
          <w:rFonts w:ascii="Consolas" w:cs="Consolas" w:eastAsia="Consolas" w:hAnsi="Consolas"/>
          <w:color w:val="35322E"/>
          <w:sz w:val="17"/>
          <w:szCs w:val="17"/>
        </w:rPr>
        <w:t xml:space="preserve">v2</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ignore memory, retranslate</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segment errored out and contains no translation. Fix and re-run first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Highest consequence class in legal evidence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 xml:space="preserve">Findings are sorted by severity, so the top of the file is where to start. Numeric comparison normalizes separators, so 1.234,56 and 1,234.56 are treated as the same number.</w:t>
      </w:r>
    </w:p>
    <w:p>
      <w:r>
        <w:br w:type="page"/>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a pattern to nontranslatable.txt; verify with is_translatable() per S4.2</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root holding all projects</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TR_ROOT</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(active project)</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gams3:q8</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alias used by every script</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TR_SRC / TR_TGT</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 / en</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Per-project, in project.conf. Use de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Per-project, in project.conf. Set if the client requires it</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TR_NUM_CTX</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8192</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v1</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Part of the cache key. Bump to force retranslation</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TR_OCR_LANGS</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slv+eng</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Tesseract languages. Add deu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endpoint</w:t>
            </w:r>
          </w:p>
        </w:tc>
      </w:tr>
    </w:tbl>
    <w:p>
      <w:pPr>
        <w:spacing w:after="120" w:line="264"/>
      </w:pPr>
      <w:r>
        <w:rPr>
          <w:rFonts w:ascii="Calibri" w:cs="Calibri" w:eastAsia="Calibri" w:hAnsi="Calibri"/>
          <w:color w:val="1A1A1A"/>
          <w:sz w:val="21"/>
          <w:szCs w:val="21"/>
        </w:rPr>
        <w:t xml:space="preserve">For a 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berlin-2026</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~/translation-work/confidential-projects/berlin-2026/project.conf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 xml:space="preserve">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 xml:space="preserve">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 xml:space="preserve">deu+eng</w:t>
      </w:r>
    </w:p>
    <w:p>
      <w:pPr>
        <w:spacing w:after="120" w:line="264"/>
      </w:pPr>
      <w:r>
        <w:rPr>
          <w:rFonts w:ascii="Calibri" w:cs="Calibri" w:eastAsia="Calibri" w:hAnsi="Calibri"/>
          <w:color w:val="1A1A1A"/>
          <w:sz w:val="21"/>
          <w:szCs w:val="21"/>
        </w:rPr>
        <w:t xml:space="preserve">German is high-resource and well served by base Gemma; GaMS3 continual pre-training on Slovene may have eroded it. Compare against gemma3:12b on a German sample before relying on GaMS3 for that pair.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GaMS3-12B-Instruct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Slovene-specific; outperforms base Gemma 3 12B on EN→SL and rivals GPT-4o on the Slovene arena</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cs="Calibri" w:eastAsia="Calibri" w:hAnsi="Calibri"/>
          <w:color w:val="1A1A1A"/>
          <w:sz w:val="21"/>
          <w:szCs w:val="21"/>
        </w:rPr>
        <w:t xml:space="preserve">Trial the container on a throwaway 1 GB image and exercise open, close, and the guard before real data goes near it.</w:t>
      </w:r>
    </w:p>
    <w:p>
      <w:pPr>
        <w:pStyle w:val="ListParagraph"/>
        <w:numPr>
          <w:ilvl w:val="0"/>
          <w:numId w:val="2"/>
        </w:numPr>
        <w:spacing w:after="70" w:line="264"/>
      </w:pPr>
      <w:r>
        <w:rPr>
          <w:rFonts w:ascii="Calibri" w:cs="Calibri" w:eastAsia="Calibri" w:hAnsi="Calibri"/>
          <w:color w:val="1A1A1A"/>
          <w:sz w:val="21"/>
          <w:szCs w:val="21"/>
        </w:rPr>
        <w:t xml:space="preserve">Confirm full-disk encryption as well as the container (S3.4). They cover different threats and both are wanted.</w:t>
      </w:r>
    </w:p>
    <w:p>
      <w:pPr>
        <w:pStyle w:val="ListParagraph"/>
        <w:numPr>
          <w:ilvl w:val="0"/>
          <w:numId w:val="2"/>
        </w:numPr>
        <w:spacing w:after="70" w:line="264"/>
      </w:pPr>
      <w:r>
        <w:rPr>
          <w:rFonts w:ascii="Calibri" w:cs="Calibri" w:eastAsia="Calibri" w:hAnsi="Calibri"/>
          <w:color w:val="1A1A1A"/>
          <w:sz w:val="21"/>
          <w:szCs w:val="21"/>
        </w:rPr>
        <w:t xml:space="preserve">Test whether Qwen vision input works, for the dual-engine OCR cross-check (S5.3).</w:t>
      </w:r>
    </w:p>
    <w:p>
      <w:pPr>
        <w:pStyle w:val="ListParagraph"/>
        <w:numPr>
          <w:ilvl w:val="0"/>
          <w:numId w:val="2"/>
        </w:numPr>
        <w:spacing w:after="70" w:line="264"/>
      </w:pPr>
      <w:r>
        <w:rPr>
          <w:rFonts w:ascii="Calibri" w:cs="Calibri" w:eastAsia="Calibri" w:hAnsi="Calibri"/>
          <w:color w:val="1A1A1A"/>
          <w:sz w:val="21"/>
          <w:szCs w:val="21"/>
        </w:rPr>
        <w:t xml:space="preserve">Seed the memory from the translator’s prior work if any exists (S4.3).</w:t>
      </w:r>
    </w:p>
    <w:p>
      <w:pPr>
        <w:pStyle w:val="ListParagraph"/>
        <w:numPr>
          <w:ilvl w:val="0"/>
          <w:numId w:val="2"/>
        </w:numPr>
        <w:spacing w:after="70" w:line="264"/>
      </w:pPr>
      <w:r>
        <w:rPr>
          <w:rFonts w:ascii="Calibri" w:cs="Calibri" w:eastAsia="Calibri" w:hAnsi="Calibri"/>
          <w:color w:val="1A1A1A"/>
          <w:sz w:val="21"/>
          <w:szCs w:val="21"/>
        </w:rPr>
        <w:t xml:space="preserve">Verify German quality against base Gemma before extending to that pair (S12).</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