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spacing w:after="120" w:line="264"/>
      </w:pPr>
      <w:r>
        <w:rPr>
          <w:rFonts w:ascii="Calibri" w:cs="Calibri" w:eastAsia="Calibri" w:hAnsi="Calibri"/>
          <w:color w:val="1A1A1A"/>
          <w:sz w:val="21"/>
          <w:szCs w:val="21"/>
        </w:rPr>
        <w:t xml:space="preserve">TR_SUFFIX=auto labels each deliverable with the language it is drafted into, spelled as tr-ref reads it: lease.docx delivers as lease_German.docx, or lease_German-CH.docx in a Swiss project. A translation filed beside its source then cannot overwrite it, and is already half of a reference pair. A suffix that names another language than TR_TGT is refused.</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 The same holds for a value with a currency on either side, a sign, accounting brackets or a percent — $1,000, -1,250.00, (1,250.00), 12.5% — for a range such as 12:00–13:00, and for a date or a time spelled with letters, such as March 5, 2024 or 2:30 p.m., which used to go to the model.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would serve German→English work too, once a German source is supported.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A past project's originals and translations, kept in two folders — &lt;client&gt;/in/356 and &lt;client&gt;/out/356, say, each translation labelled before its extension — need not be copied by hand. tr-refimport &lt;originals&gt; &lt;translations&gt; --from en --to de reads both folders with their subfolders and lists what it would copy side by side into reference/, under the originals' folder name — the originals labelled _English before every extension, so lease.pdf.docx becomes lease_English.pdf.docx — and copies them when given --apply. A translation with no label, a label naming another language, a name two files would share and a file already there are listed and not copied, and the archive is left as it was. Copy only reviewed translations: tr-ref reuses their sentences word for word, and tr-lint never checks them.</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 source is refused for now, because triage cannot detect German.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tr-project</w:t>
      </w:r>
      <w:r>
        <w:rPr>
          <w:rFonts w:ascii="Consolas" w:hAnsi="Consolas"/>
          <w:color w:val="35322E"/>
          <w:sz w:val="17"/>
        </w:rPr>
        <w:t xml:space="preserve"> </w:t>
      </w:r>
      <w:r>
        <w:rPr>
          <w:rFonts w:ascii="Consolas" w:hAnsi="Consolas"/>
          <w:color w:val="35322E"/>
          <w:sz w:val="17"/>
        </w:rPr>
        <w:t>kranj-2024</w:t>
      </w:r>
      <w:r>
        <w:rPr>
          <w:rFonts w:ascii="Consolas" w:hAnsi="Consolas"/>
          <w:color w:val="35322E"/>
          <w:sz w:val="17"/>
        </w:rPr>
        <w:t xml:space="preserve">      </w:t>
      </w:r>
      <w:r>
        <w:rPr>
          <w:rFonts w:ascii="Consolas" w:hAnsi="Consolas"/>
          <w:i/>
          <w:color w:val="8C8578"/>
          <w:sz w:val="17"/>
        </w:rPr>
        <w:t># switch to another project</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hAnsi="Consolas"/>
          <w:b/>
          <w:color w:val="A8432A"/>
          <w:sz w:val="17"/>
        </w:rPr>
        <w:t>cp</w:t>
      </w:r>
      <w:r>
        <w:rPr>
          <w:rFonts w:ascii="Consolas" w:hAnsi="Consolas"/>
          <w:color w:val="35322E"/>
          <w:sz w:val="17"/>
        </w:rPr>
        <w:t xml:space="preserve"> </w:t>
      </w:r>
      <w:r>
        <w:rPr>
          <w:rFonts w:ascii="Consolas" w:hAnsi="Consolas"/>
          <w:color w:val="1F6E8C"/>
          <w:sz w:val="17"/>
        </w:rPr>
        <w:t>-av</w:t>
      </w:r>
      <w:r>
        <w:rPr>
          <w:rFonts w:ascii="Consolas" w:hAnsi="Consolas"/>
          <w:color w:val="35322E"/>
          <w:sz w:val="17"/>
        </w:rPr>
        <w:t xml:space="preserve"> </w:t>
      </w:r>
      <w:r>
        <w:rPr>
          <w:rFonts w:ascii="Consolas" w:hAnsi="Consolas"/>
          <w:color w:val="1F6E8C"/>
          <w:sz w:val="17"/>
        </w:rPr>
        <w:t>--update</w:t>
      </w:r>
      <w:r>
        <w:rPr>
          <w:rFonts w:ascii="Consolas" w:hAnsi="Consolas"/>
          <w:color w:val="35322E"/>
          <w:sz w:val="17"/>
        </w:rPr>
        <w:t>=none</w:t>
      </w:r>
      <w:r>
        <w:rPr>
          <w:rFonts w:ascii="Consolas" w:hAnsi="Consolas"/>
          <w:color w:val="35322E"/>
          <w:sz w:val="17"/>
        </w:rPr>
        <w:t xml:space="preserve"> </w:t>
      </w:r>
      <w:r>
        <w:rPr>
          <w:rFonts w:ascii="Consolas" w:hAnsi="Consolas"/>
          <w:color w:val="35322E"/>
          <w:sz w:val="17"/>
        </w:rPr>
        <w:t>source/.</w:t>
      </w:r>
      <w:r>
        <w:rPr>
          <w:rFonts w:ascii="Consolas" w:hAnsi="Consolas"/>
          <w:color w:val="35322E"/>
          <w:sz w:val="17"/>
        </w:rPr>
        <w:t xml:space="preserve"> </w:t>
      </w:r>
      <w:r>
        <w:rPr>
          <w:rFonts w:ascii="Consolas" w:hAnsi="Consolas"/>
          <w:color w:val="35322E"/>
          <w:sz w:val="17"/>
        </w:rPr>
        <w:t>&lt;client&gt;/in/356/</w:t>
      </w:r>
      <w:r>
        <w:rPr>
          <w:rFonts w:ascii="Consolas" w:hAnsi="Consolas"/>
          <w:color w:val="35322E"/>
          <w:sz w:val="17"/>
        </w:rPr>
        <w:t xml:space="preserve">        </w:t>
      </w:r>
      <w:r>
        <w:rPr>
          <w:rFonts w:ascii="Consolas" w:hAnsi="Consolas"/>
          <w:i/>
          <w:color w:val="8C8578"/>
          <w:sz w:val="17"/>
        </w:rPr>
        <w:t># deliver the originals to the archive</w:t>
      </w:r>
    </w:p>
    <w:p>
      <w:pPr>
        <w:pBdr>
          <w:left w:val="single" w:color="C15E3C" w:sz="12" w:space="8"/>
        </w:pBdr>
        <w:shd w:fill="F7F2E9" w:val="clear"/>
        <w:spacing w:after="0" w:before="0" w:line="240"/>
        <w:ind w:left="259"/>
      </w:pPr>
      <w:r>
        <w:rPr>
          <w:rFonts w:ascii="Consolas" w:hAnsi="Consolas"/>
          <w:b/>
          <w:color w:val="A8432A"/>
          <w:sz w:val="17"/>
        </w:rPr>
        <w:t>cp</w:t>
      </w:r>
      <w:r>
        <w:rPr>
          <w:rFonts w:ascii="Consolas" w:hAnsi="Consolas"/>
          <w:color w:val="35322E"/>
          <w:sz w:val="17"/>
        </w:rPr>
        <w:t xml:space="preserve"> </w:t>
      </w:r>
      <w:r>
        <w:rPr>
          <w:rFonts w:ascii="Consolas" w:hAnsi="Consolas"/>
          <w:color w:val="1F6E8C"/>
          <w:sz w:val="17"/>
        </w:rPr>
        <w:t>-av</w:t>
      </w:r>
      <w:r>
        <w:rPr>
          <w:rFonts w:ascii="Consolas" w:hAnsi="Consolas"/>
          <w:color w:val="35322E"/>
          <w:sz w:val="17"/>
        </w:rPr>
        <w:t xml:space="preserve"> </w:t>
      </w:r>
      <w:r>
        <w:rPr>
          <w:rFonts w:ascii="Consolas" w:hAnsi="Consolas"/>
          <w:color w:val="1F6E8C"/>
          <w:sz w:val="17"/>
        </w:rPr>
        <w:t>--update</w:t>
      </w:r>
      <w:r>
        <w:rPr>
          <w:rFonts w:ascii="Consolas" w:hAnsi="Consolas"/>
          <w:color w:val="35322E"/>
          <w:sz w:val="17"/>
        </w:rPr>
        <w:t>=none</w:t>
      </w:r>
      <w:r>
        <w:rPr>
          <w:rFonts w:ascii="Consolas" w:hAnsi="Consolas"/>
          <w:color w:val="35322E"/>
          <w:sz w:val="17"/>
        </w:rPr>
        <w:t xml:space="preserve"> </w:t>
      </w:r>
      <w:r>
        <w:rPr>
          <w:rFonts w:ascii="Consolas" w:hAnsi="Consolas"/>
          <w:color w:val="35322E"/>
          <w:sz w:val="17"/>
        </w:rPr>
        <w:t>translated/.</w:t>
      </w:r>
      <w:r>
        <w:rPr>
          <w:rFonts w:ascii="Consolas" w:hAnsi="Consolas"/>
          <w:color w:val="35322E"/>
          <w:sz w:val="17"/>
        </w:rPr>
        <w:t xml:space="preserve"> </w:t>
      </w:r>
      <w:r>
        <w:rPr>
          <w:rFonts w:ascii="Consolas" w:hAnsi="Consolas"/>
          <w:color w:val="35322E"/>
          <w:sz w:val="17"/>
        </w:rPr>
        <w:t>&lt;client&gt;/out/356/</w:t>
      </w:r>
      <w:r>
        <w:rPr>
          <w:rFonts w:ascii="Consolas" w:hAnsi="Consolas"/>
          <w:color w:val="35322E"/>
          <w:sz w:val="17"/>
        </w:rPr>
        <w:t xml:space="preserve">   </w:t>
      </w:r>
      <w:r>
        <w:rPr>
          <w:rFonts w:ascii="Consolas" w:hAnsi="Consolas"/>
          <w:i/>
          <w:color w:val="8C8578"/>
          <w:sz w:val="17"/>
        </w:rPr>
        <w:t># and the translations, overwriting nothing</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The English→German version changed once, on 2026-09-10 at kit commit aeaa8e3, from p-b5121a0c86bf to p-86640e2a7d20, so memory written under the first is not reused.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compared as values with each side read in its own notation.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TR_SRC is sl or en: a German source is refused until language detection knows German. TR_TGT is sl, en or de, and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Added to each deliverable's name before its extension. auto: the target language's label, such as _German or _German-CH, which tr-ref reads, so a translation is also half of a reference pair. A label naming another language than TR_TGT is refused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short segments sent to the model in one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1500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characters in one batched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Longest segment that is batched; a longer one goes on its own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pBdr>
          <w:bottom w:val="single" w:color="E2D8C8" w:sz="2" w:space="3"/>
          <w:left w:val="single" w:color="C15E3C" w:sz="12" w:space="8"/>
        </w:pBdr>
        <w:shd w:fill="F7F2E9" w:val="clear"/>
        <w:spacing w:after="160" w:before="0" w:line="240"/>
        <w:ind w:left="259"/>
      </w:pPr>
      <w:r>
        <w:rPr>
          <w:rFonts w:ascii="Consolas" w:hAnsi="Consolas"/>
          <w:color w:val="35322E"/>
          <w:sz w:val="17"/>
        </w:rPr>
        <w:t xml:space="preserve">  </w:t>
      </w:r>
      <w:r>
        <w:rPr>
          <w:rFonts w:ascii="Consolas" w:hAnsi="Consolas"/>
          <w:color w:val="8A4B9E"/>
          <w:sz w:val="17"/>
        </w:rPr>
        <w:t>TR_SUFFIX=</w:t>
      </w:r>
      <w:r>
        <w:rPr>
          <w:rFonts w:ascii="Consolas" w:hAnsi="Consolas"/>
          <w:color w:val="35322E"/>
          <w:sz w:val="17"/>
        </w:rPr>
        <w:t>auto</w:t>
      </w:r>
    </w:p>
    <w:p>
      <w:pPr>
        <w:spacing w:after="120" w:line="264"/>
      </w:pPr>
      <w:r>
        <w:rPr>
          <w:rFonts w:ascii="Calibri" w:cs="Calibri" w:eastAsia="Calibri" w:hAnsi="Calibri"/>
          <w:color w:val="1A1A1A"/>
          <w:sz w:val="21"/>
          <w:szCs w:val="21"/>
        </w:rPr>
        <w:t>TR_SUFFIX=auto is optional: each translation takes its language's label, lease_German.docx. Decide it before the first tr-run, because changing it later renames every deliverable and leaves the old files in translated/, listed as orphaned. Nothing else needs setting: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and times the model left in English form or in Germany's, to whole francs however they are written, and to spelling. A number counts as money only beside a currency, or beside the other end of a range that has one, because a converter cannot see the column it stands in. de-AT is recognised — tr-ref files references in it and tr-terms --reference reads them — but drafting into it is refused until its conventions are settled. TR_SRC is sl or en: a German source is refused for now, because language detection has no German and German→English has no rules of its own.</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Numbers are compared as values, each side read in its own notation, so a date or an amount the model converted correctly earns no retry, and in a batch only the line that added something is retried.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English into German; a German source and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Slovene and English can be source or target, and German a target: a German source is refused until language detection knows German and German→English has rules of its own.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Quantify how much machine assistance helps. Phase 1 ran and the translator's verdict was that it does help, which settled whether to proceed — but the ratio itself, and the per-class edit counts that say what to fix next, were never recorded. The quote still rests on source-word volume rather than a measured editing speedup.</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still needs a model chosen. A German source needs a German class in language detection, calibrated again, and prompt rules and conversions for German→English; until then TR_SRC=de is refused.</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