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 xml:space="preserve">Nothing in the kit hardcodes its own location — every script derives it at run time — so the directory can be renamed or moved without edits.</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 xml:space="preserve">If that returns nothing, the installation is unencrypted. Retrofitting is disruptive; an encrypted container holding only ~/translate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Expect roughly 4 tokens per second generation on this hardware. Prefill will be considerably faster.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 xml:space="preserve">These three inputs determine output quality far more than any model setting. None can be automated, and all should be settled before the corpus is processed.</w:t>
      </w:r>
    </w:p>
    <w:p>
      <w:pPr>
        <w:pStyle w:val="Heading2"/>
        <w:spacing w:after="130" w:before="250"/>
      </w:pPr>
      <w:r>
        <w:rPr>
          <w:rFonts w:ascii="Calibri" w:cs="Calibri" w:eastAsia="Calibri" w:hAnsi="Calibri"/>
          <w:b/>
          <w:bCs/>
          <w:color w:val="1A1A1A"/>
          <w:sz w:val="24"/>
          <w:szCs w:val="24"/>
        </w:rPr>
        <w:t xml:space="preserve">4.1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 xml:space="preserve">4.2 Non-translatables</w:t>
      </w:r>
    </w:p>
    <w:p>
      <w:pPr>
        <w:spacing w:after="120" w:line="264"/>
      </w:pPr>
      <w:r>
        <w:rPr>
          <w:rFonts w:ascii="Calibri" w:cs="Calibri" w:eastAsia="Calibri" w:hAnsi="Calibri"/>
          <w:color w:val="1A1A1A"/>
          <w:sz w:val="21"/>
          <w:szCs w:val="21"/>
        </w:rPr>
        <w:t xml:space="preserve">Regex patterns in nontranslatable.txt mark strings reproduced verbatim: case numbers, file references, dates, amounts, statute short forms. Defaults for Slovene court formats are supplied. Every one of these the model would otherwise "helpfully" translate is a guaranteed edit at a known location, so catching them in code is free quality.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 xml:space="preserve">4.3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 xml:space="preserve">A second engine is worth adding if scan quality is poor. The installed Qwen model reports a vision capability; a vision model reads a page by a completely different mechanism than Tesseract, so their failure modes are largely uncorrelated. Run both, compare only the numbers, dates, and capitalized tokens, and inspect where they disagree. Test that vision input works before designing around it:</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 xml:space="preserve">Findings are sorted by severity, so the top of the file is where to start. Numeric comparison normalizes separators, so 1.234,56 and 1,234.56 are treated as the same number.</w:t>
      </w:r>
    </w:p>
    <w:p>
      <w:r>
        <w:br w:type="page"/>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a pattern to nontranslatable.txt; verify with is_translatable() per S4.2</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 xml:space="preserve">Trial the container on a throwaway 1 GB image and exercise open, close, and the guard before real data goes near it.</w:t>
      </w:r>
    </w:p>
    <w:p>
      <w:pPr>
        <w:pStyle w:val="ListParagraph"/>
        <w:numPr>
          <w:ilvl w:val="0"/>
          <w:numId w:val="2"/>
        </w:numPr>
        <w:spacing w:after="70" w:line="264"/>
      </w:pPr>
      <w:r>
        <w:rPr>
          <w:rFonts w:ascii="Calibri" w:cs="Calibri" w:eastAsia="Calibri" w:hAnsi="Calibri"/>
          <w:color w:val="1A1A1A"/>
          <w:sz w:val="21"/>
          <w:szCs w:val="21"/>
        </w:rPr>
        <w:t xml:space="preserve">Confirm full-disk encryption as well as the container (S3.4). They cover different threats and both are wanted.</w:t>
      </w:r>
    </w:p>
    <w:p>
      <w:pPr>
        <w:pStyle w:val="ListParagraph"/>
        <w:numPr>
          <w:ilvl w:val="0"/>
          <w:numId w:val="2"/>
        </w:numPr>
        <w:spacing w:after="70" w:line="264"/>
      </w:pPr>
      <w:r>
        <w:rPr>
          <w:rFonts w:ascii="Calibri" w:cs="Calibri" w:eastAsia="Calibri" w:hAnsi="Calibri"/>
          <w:color w:val="1A1A1A"/>
          <w:sz w:val="21"/>
          <w:szCs w:val="21"/>
        </w:rPr>
        <w:t xml:space="preserve">Test whether Qwen vision input works, for the dual-engine OCR cross-check (S5.3).</w:t>
      </w:r>
    </w:p>
    <w:p>
      <w:pPr>
        <w:pStyle w:val="ListParagraph"/>
        <w:numPr>
          <w:ilvl w:val="0"/>
          <w:numId w:val="2"/>
        </w:numPr>
        <w:spacing w:after="70" w:line="264"/>
      </w:pPr>
      <w:r>
        <w:rPr>
          <w:rFonts w:ascii="Calibri" w:cs="Calibri" w:eastAsia="Calibri" w:hAnsi="Calibri"/>
          <w:color w:val="1A1A1A"/>
          <w:sz w:val="21"/>
          <w:szCs w:val="21"/>
        </w:rPr>
        <w:t xml:space="preserve">Seed the memory from the translator’s prior work if any exists (S4.3).</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