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serves English→German and German→English work.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a sentence with no number is kept only where its neighbours lined up one-to-one too.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Everything kept is listed in work/reference/pairs.tsv, to be read before the first run, because every line there can reach a deliverable word for word. Two kinds are never reused: a sentence the references translate differently (tr-ref --conflicts), and a translation read by OCR, whose misreadings would pass straight into the output — those count for terminology only.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test documents a Word pair kept 12 of 14 sentence pairs and a Word-to-PDF pair 4 of 6; the rest were rejected rather than guessed.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tr-pdf reads the file again, keeping the old layer as &lt;name&gt;.txt.unmarked. tr-inventory --with-ocr now has tr-pdf make every text layer.</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A reply still far too long after it is written as [TRANSLATION FAILED];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disagreeing references and OCR-read translations are never reused verbatim. They stay in their project, because memory never crosses matters</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only among the German pairs. Slovene↔German and German→English dates and amounts are left to the model, and Slovene↔German still needs a model chosen.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