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2026-08-02  ·  Companion to the Operating Manual v1.3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.../work/inventory/manifest.tsv, by-lang/</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Lists of file paths; a filename carries party names, dates, case numbers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.../work/inventory/summary.txt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Counts only</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paths. This is the file that goes to the client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Inside the denied tree. Reaching it needs the container mounted, which the guard already forbids during a session</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It also writes a nested, two-drop, mixed-language tree under fixtures/drop/ — Slovene beside Croatian, English and Armenian, plus a file too short to classify — which is what triage is developed against.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Dependencies land in a venv the scripts now re-exec into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free -h shows 8.0Gi; persists via fstab</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gams3:q8 registered, 12.5 GB</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3 documents translated, lint report clean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Prefill 7.00, generation 2.20, sustained 0.81 tok/s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Transcribed 97.3%; every case number, amount, date and diacritic exact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11/11, after fixing spaced forms such as d. o. 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Root is plain ext4; container-only accepted as a recorded decision (manual S13)</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A batch ran through a 3-and-a-half-minute lid close</w:t>
            </w:r>
          </w:p>
        </w:tc>
      </w:tr>
    </w:tbl>
    <w:p>
      <w:pPr>
        <w:spacing w:after="120" w:line="264"/>
      </w:pPr>
      <w:r>
        <w:rPr>
          <w:rFonts w:ascii="Calibri" w:cs="Calibri" w:eastAsia="Calibri" w:hAnsi="Calibri"/>
          <w:color w:val="1A1A1A"/>
          <w:sz w:val="21"/>
          <w:szCs w:val="21"/>
        </w:rPr>
        <w:t>Task 5 replaced every throughput estimate in the earlier documents with measurement, and the numbers were worse than assumed: 0.81 output tokens per second sustained, against the 4 the planning arithmetic used - optimistic by roughly five times. Most of a segment's cost is not generation but re-reading the system prompt, about 28 seconds of every 48, paid whether the segment is a sentence or two words.</w:t>
      </w:r>
    </w:p>
    <w:p>
      <w:pPr>
        <w:spacing w:after="120" w:line="264"/>
      </w:pPr>
      <w:r>
        <w:rPr>
          <w:rFonts w:ascii="Calibri" w:cs="Calibri" w:eastAsia="Calibri" w:hAnsi="Calibri"/>
          <w:color w:val="1A1A1A"/>
          <w:sz w:val="21"/>
          <w:szCs w:val="21"/>
        </w:rPr>
        <w:t>Task 6 succeeded, so the dual-engine OCR cross-check is available rather than hypothetical. The vision model also read a table correctly where the PDF text layer did not, keeping each label with its value instead of flattening headers away from the figures. It costs about 6.7 minutes a page, so it belongs on pages that warrant it rather than on all of them.</w:t>
      </w:r>
    </w:p>
    <w:p>
      <w:pPr>
        <w:spacing w:after="120" w:line="264"/>
      </w:pPr>
      <w:r>
        <w:rPr>
          <w:rFonts w:ascii="Calibri" w:cs="Calibri" w:eastAsia="Calibri" w:hAnsi="Calibri"/>
          <w:color w:val="1A1A1A"/>
          <w:sz w:val="21"/>
          <w:szCs w:val="21"/>
        </w:rPr>
        <w:t>Task 8 is settled rather than merely answered. The disk is not encrypted and will not be: retrofitting means re-encrypting in place or reinstalling, and the container is what protects the case material at rest. The residual risk is accepted and recorded in manual S13 - swap, temporary files and anything copied out for review are in the clear, as is everything while the container is open.</w:t>
      </w:r>
    </w:p>
    <w:p>
      <w:pPr>
        <w:spacing w:after="120" w:line="264"/>
      </w:pPr>
      <w:r>
        <w:rPr>
          <w:rFonts w:ascii="Calibri" w:cs="Calibri" w:eastAsia="Calibri" w:hAnsi="Calibri"/>
          <w:color w:val="1A1A1A"/>
          <w:sz w:val="21"/>
          <w:szCs w:val="21"/>
        </w:rPr>
        <w:t>Three findings came out of the work that were not on the list, and each is recorded in the manual: the pipeline must convert dates, amounts and times to English convention rather than reproduce them (S4.3); the model completes famous statutory provisions from memory, which no prompt prevented and no deterministic check can see (S8.1); and a client drop is not one language, so triage runs before translation (S4.1).</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Iterating on the pipeline against a 13 GB model at four tokens per second is slow and unnecessary. A mock server that mimics the Ollama API makes the whole pipeline testable in seconds, and lets you inject deliberate faults to confirm the linter catches them. Run the fixture corpus through it after any change to segmentation, the non-translatable patterns or the workers: the whole set completes in seconds and tr-lint reports the injected NUM fault. It does not tell you anything about the model — that is task 5.</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Running tr-inventory over a real drop</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It opens every client file to detect its language</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