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2026-08-01  ·  Companion to the Operating Manual v1.2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first</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General terminology, usually fine</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 xml:space="preserve">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The kit is already a git repository, so there is nothing to initialise. One setting is not optional after unpacking a fresh copy: the hooks that keep client material out of the repository do not run until it is told where they live, because a global core.hooksPath shadows .git/hooks entirely.</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cd</w:t>
      </w:r>
      <w:r>
        <w:rPr>
          <w:rFonts w:ascii="Consolas" w:cs="Consolas" w:eastAsia="Consolas" w:hAnsi="Consolas"/>
          <w:color w:val="35322E"/>
          <w:sz w:val="17"/>
          <w:szCs w:val="17"/>
        </w:rPr>
        <w:t xml:space="preserve"> "$KIT" &amp;&amp; </w:t>
      </w:r>
      <w:r>
        <w:rPr>
          <w:rFonts w:ascii="Consolas" w:cs="Consolas" w:eastAsia="Consolas" w:hAnsi="Consolas"/>
          <w:b/>
          <w:bCs/>
          <w:color w:val="A8432A"/>
          <w:sz w:val="17"/>
          <w:szCs w:val="17"/>
        </w:rPr>
        <w:t>git</w:t>
      </w:r>
      <w:r>
        <w:rPr>
          <w:rFonts w:ascii="Consolas" w:cs="Consolas" w:eastAsia="Consolas" w:hAnsi="Consolas"/>
          <w:color w:val="35322E"/>
          <w:sz w:val="17"/>
          <w:szCs w:val="17"/>
        </w:rPr>
        <w:t xml:space="preserve"> config core.hooksPath .githooks</w:t>
      </w:r>
    </w:p>
    <w:p>
      <w:pPr>
        <w:spacing w:after="120" w:line="264"/>
      </w:pPr>
      <w:r>
        <w:rPr>
          <w:rFonts w:ascii="Calibri" w:cs="Calibri" w:eastAsia="Calibri" w:hAnsi="Calibri"/>
          <w:color w:val="1A1A1A"/>
          <w:sz w:val="21"/>
          <w:szCs w:val="21"/>
        </w:rPr>
        <w:t>tr-setup does this for you whenever the kit is already a repository. Either way, stage selectively — git add &lt;path&gt; — rather than git add -A, so a document copied in to reproduce a defect cannot ride along into a commit.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tr-status runs and reports an empty source directory</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free -h shows 8.0Gi</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gams3:q8</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Translated fixtures appear; tr-lint produces a report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Two tok/s figures recorded from --verbose</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Either a transcription, or a definite failure documented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segment splits at št. čl. odst. d.o.o.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lsblk output interpreted, decision recorded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fixture batch survives a lid close</w:t>
            </w:r>
          </w:p>
        </w:tc>
      </w:tr>
    </w:tbl>
    <w:p>
      <w:pPr>
        <w:spacing w:after="120" w:line="264"/>
      </w:pPr>
      <w:r>
        <w:rPr>
          <w:rFonts w:ascii="Calibri" w:cs="Calibri" w:eastAsia="Calibri" w:hAnsi="Calibri"/>
          <w:color w:val="1A1A1A"/>
          <w:sz w:val="21"/>
          <w:szCs w:val="21"/>
        </w:rPr>
        <w:t xml:space="preserve">Task 5 replaces every throughput estimate in the earlier documents with measurement. Task 6 is the highest-value experiment: if vision input works, the dual-engine OCR cross-check becomes available and the largest risk in the project gets materially smaller.</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Iterating on the pipeline against a 13 GB model at four tokens per second is slow and unnecessary. A mock server that mimics the Ollama API makes the whole pipeline testable in seconds, and lets you inject deliberate faults to confirm the linter catches them. Run the fixture corpus through it after any change to segmentation, the non-translatable patterns or the workers: the whole set completes in seconds and tr-lint reports the injected NUM fault. It does not tell you anything about the model — that is task 5.</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