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Version 1.4  ·  2026-09-10  ·  EN↔SL, EN↔DE  ·  hpelitebook8g1i16, Ubuntu 26.04</w:t>
      </w:r>
    </w:p>
    <w:p>
      <w:pPr>
        <w:spacing w:after="120" w:line="264"/>
      </w:pPr>
      <w:r>
        <w:rPr>
          <w:rFonts w:ascii="Calibri" w:cs="Calibri" w:eastAsia="Calibri" w:hAnsi="Calibri"/>
          <w:color w:val="1A1A1A"/>
          <w:sz w:val="21"/>
          <w:szCs w:val="21"/>
        </w:rPr>
        <w:t>This document consolidates and replaces the Hardware Assessment, Workflow Architecture, and Addenda 1 and 2. Version 1.3 revises it for the multi-project confidential layout, the encrypted container, and the Claude Code project location; version 1.4 adds English↔German.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1.1 The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tr-inventory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Classify every file in source/ by source language</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 Where two files in one folder would deliver under one name — x.docx beside a scanned x.pdf — the one whose format changes keeps its extension, so x.pdf delivers as x.pdf.docx; two names that differ only in case are refused.</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No script in the kit hardcodes its own location; each derives it at run time, and core.hooksPath is relative, so both travel with the directory. Two lines in ~/.bashrc do not: the export KIT= and the $KIT/bin PATH entry tr-setup wrote with the old absolute path. Re-running tr-setup after a move appends the new PATH line but leaves the stale one, so edit ~/.bashrc by hand.</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git@github.com:hmbseaotter/offline-legal-translation.git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The alias matters. Scripts refer to models by alias, chosen by language pair in one table in lib/trlib.py — gams3:q8 for Slovene↔English, eurollm9b-2512:q8 for English↔German — so switching a model later is one tr-model invocation and one line in that table, rather than an edit in eight places. It also pins num_ctx and temperature so behavior does not drift with an Ollama upgrade.</w:t>
      </w:r>
    </w:p>
    <w:p>
      <w:pPr>
        <w:spacing w:after="120" w:line="264"/>
      </w:pPr>
      <w:r>
        <w:rPr>
          <w:rFonts w:ascii="Calibri" w:cs="Calibri" w:eastAsia="Calibri" w:hAnsi="Calibri"/>
          <w:color w:val="1A1A1A"/>
          <w:sz w:val="21"/>
          <w:szCs w:val="21"/>
        </w:rPr>
        <w:t>English↔German needs its own model, because German is absent from GaMS3's training. Register it only on a machine that will take such a matter: tr-model hf.co/mradermacher/EuroLLM-9B-Instruct-2512-GGUF:Q8_0 eurollm9b-2512:q8 (about 10 GB, once).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Measured on this hardware with gams3:q8, over 12 samples of real pipeline traffic: prefill 7.00 tokens per second, generation 2.20. What governs planning is neither of those but the sustained rate — 0.81 output tokens per second, 48.3 seconds of wall clock per segment. The earlier estimate of 4 tokens per second was optimistic by roughly five times, because most of a segment's cost is not generation: every call re-reads a 200-token system prompt at 7 tokens per second, some 28 seconds, and pays it whether the segment is a sentence or two words. A faster quantization therefore attacks the smaller half of that cost; batching several segments into one call, or shortening the system prompt, attacks the larger.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Four things to settle before the corpus is processed. The first decides which files are in scope at all. The other three determine output quality far more than any model setting, and none of them can be automated.</w:t>
      </w:r>
    </w:p>
    <w:p>
      <w:pPr>
        <w:pStyle w:val="Heading2"/>
        <w:spacing w:after="130" w:before="250"/>
      </w:pPr>
      <w:r>
        <w:rPr>
          <w:rFonts w:ascii="Calibri" w:cs="Calibri" w:eastAsia="Calibri" w:hAnsi="Calibri"/>
          <w:b/>
          <w:bCs/>
          <w:color w:val="1A1A1A"/>
          <w:sz w:val="24"/>
          <w:szCs w:val="24"/>
        </w:rPr>
        <w:t>4.1 Triage — which files are in scope</w:t>
      </w:r>
    </w:p>
    <w:p>
      <w:pPr>
        <w:spacing w:after="120" w:line="264"/>
      </w:pPr>
      <w:r>
        <w:rPr>
          <w:rFonts w:ascii="Calibri" w:cs="Calibri" w:eastAsia="Calibri" w:hAnsi="Calibri"/>
          <w:color w:val="1A1A1A"/>
          <w:sz w:val="21"/>
          <w:szCs w:val="21"/>
        </w:rPr>
        <w:t>A client drop is not a clean corpus. Files arrive in the folder structure the client used — often two or more separate drops, nested several levels — and that structure is carried through source/ to translated/ untouched. The tree also mixes languages: Slovene alongside English, Croatian or Serbian, Armenian, and whatever else a matter happens to contain. Only the files in the project's source language are translated; the rest are counted and set aside.</w:t>
      </w:r>
    </w:p>
    <w:p>
      <w:pPr>
        <w:spacing w:after="120" w:line="264"/>
      </w:pPr>
      <w:r>
        <w:rPr>
          <w:rFonts w:ascii="Calibri" w:cs="Calibri" w:eastAsia="Calibri" w:hAnsi="Calibri"/>
          <w:color w:val="1A1A1A"/>
          <w:sz w:val="21"/>
          <w:szCs w:val="21"/>
        </w:rPr>
        <w:t>tr-inventory walks source/ in full, records every file whether or not the pipeline can convert it, and detects the language of each. Run it before tr-status or tr-run — both work from its manifest.</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every file in source/</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--rescan</w:t>
      </w:r>
      <w:r>
        <w:rPr>
          <w:rFonts w:ascii="Consolas" w:hAnsi="Consolas"/>
          <w:color w:val="35322E"/>
          <w:sz w:val="17"/>
        </w:rPr>
        <w:t xml:space="preserve">     </w:t>
      </w:r>
      <w:r>
        <w:rPr>
          <w:rFonts w:ascii="Consolas" w:hAnsi="Consolas"/>
          <w:color w:val="8C8578"/>
          <w:sz w:val="17"/>
        </w:rPr>
        <w:t># re-examine files already recorded</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--no-ocr</w:t>
      </w:r>
      <w:r>
        <w:rPr>
          <w:rFonts w:ascii="Consolas" w:hAnsi="Consolas"/>
          <w:color w:val="35322E"/>
          <w:sz w:val="17"/>
        </w:rPr>
        <w:t xml:space="preserve">     </w:t>
      </w:r>
      <w:r>
        <w:rPr>
          <w:rFonts w:ascii="Consolas" w:hAnsi="Consolas"/>
          <w:color w:val="8C8578"/>
          <w:sz w:val="17"/>
        </w:rPr>
        <w:t># skip the sampling pass on scanned PDFs</w:t>
      </w:r>
    </w:p>
    <w:p>
      <w:pPr>
        <w:spacing w:after="120" w:line="264"/>
      </w:pPr>
      <w:r>
        <w:rPr>
          <w:rFonts w:ascii="Calibri" w:cs="Calibri" w:eastAsia="Calibri" w:hAnsi="Calibri"/>
          <w:color w:val="1A1A1A"/>
          <w:sz w:val="21"/>
          <w:szCs w:val="21"/>
        </w:rPr>
        <w:t>This is not tidiness. A Croatian file pushed through a Slovene-to-English prompt costs hours of inference at 48 seconds a segment and produces confident nonsense — and the result is written into work/tm.sqlite keyed on the source text, so it is reused silently every time that segment reappears. Undoing it means editing the memory or retranslating the matter. tr-run warns rather than proceeding quietly when no inventory exists.</w:t>
      </w:r>
    </w:p>
    <w:p>
      <w:pPr>
        <w:spacing w:after="120" w:line="264"/>
      </w:pPr>
      <w:r>
        <w:rPr>
          <w:rFonts w:ascii="Calibri" w:cs="Calibri" w:eastAsia="Calibri" w:hAnsi="Calibri"/>
          <w:color w:val="1A1A1A"/>
          <w:sz w:val="21"/>
          <w:szCs w:val="21"/>
        </w:rPr>
        <w:t>Three files are written to work/inventory/. manifest.tsv lists every file with its path, format, detected language and confidence. by-lang/ splits those paths into one list per language. summary.txt holds counts and no paths at all, and is the only one of the three that may be sent to the client — a filename in a criminal matter routinely carries a party name, a date or a case number.</w:t>
      </w:r>
    </w:p>
    <w:p>
      <w:pPr>
        <w:spacing w:after="120" w:line="264"/>
      </w:pPr>
      <w:r>
        <w:rPr>
          <w:rFonts w:ascii="Calibri" w:cs="Calibri" w:eastAsia="Calibri" w:hAnsi="Calibri"/>
          <w:color w:val="1A1A1A"/>
          <w:sz w:val="21"/>
          <w:szCs w:val="21"/>
        </w:rPr>
        <w:t>Scanned PDFs have no text layer to detect from, so tr-inventory OCRs a page or two with the candidate languages combined and decides from that; the full OCR pass in S5.3 then runs in the right language rather than a guessed one. Anything it cannot place — too little text, an unsupported format, an unreadable file — goes to the undetermined bucket with its path, for a human to deal with. Nothing is guessed.</w:t>
      </w:r>
    </w:p>
    <w:p>
      <w:pPr>
        <w:pStyle w:val="Heading2"/>
        <w:spacing w:after="130" w:before="250"/>
      </w:pPr>
      <w:r>
        <w:rPr>
          <w:rFonts w:ascii="Calibri" w:cs="Calibri" w:eastAsia="Calibri" w:hAnsi="Calibri"/>
          <w:b/>
          <w:bCs/>
          <w:color w:val="1A1A1A"/>
          <w:sz w:val="24"/>
          <w:szCs w:val="24"/>
        </w:rPr>
        <w:t>4.2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4.3 Non-translatables</w:t>
      </w:r>
    </w:p>
    <w:p>
      <w:pPr>
        <w:spacing w:after="120" w:line="264"/>
      </w:pPr>
      <w:r>
        <w:rPr>
          <w:rFonts w:ascii="Calibri" w:cs="Calibri" w:eastAsia="Calibri" w:hAnsi="Calibri"/>
          <w:color w:val="1A1A1A"/>
          <w:sz w:val="21"/>
          <w:szCs w:val="21"/>
        </w:rPr>
        <w:t>Regex patterns in nontranslatable.txt mark strings reproduced verbatim: case numbers, file references, statute short forms. Defaults for Slovene court formats are supplied. Every one of these the model would otherwise “helpfully” translate is a guaranteed edit at a known location, so catching them in code is free quality.</w:t>
      </w:r>
    </w:p>
    <w:p>
      <w:pPr>
        <w:spacing w:after="120" w:line="264"/>
      </w:pPr>
      <w:r>
        <w:rPr>
          <w:rFonts w:ascii="Calibri" w:cs="Calibri" w:eastAsia="Calibri" w:hAnsi="Calibri"/>
          <w:color w:val="1A1A1A"/>
          <w:sz w:val="21"/>
          <w:szCs w:val="21"/>
        </w:rPr>
        <w:t>Dates, amounts and times are NOT in that class. They are converted, because that is what a translation is. Into English, 5. 3. 2024 becomes March 5, 2024; 12.450,00 becomes 12,450.00; a 24-hour time becomes 2:30 p.m. Into Slovene it runs the other way: 5. marec 2024 - the day carries a period because it is an ordinal, so bare “5” would read as the cardinal number rather than the fifth day; the month name is lowercase, which Slovene requires; and the three parts are spaced. Amounts take 12.450,00 and times stay on the 24-hour clock. The value never changes; only its spelling does. Two forms are wrong in either language and worth naming, because both were in this kit before the translator corrected them: “5 March 2024” and “5. Marec 2024”. The all-numeric 5.3.2024 is technically correct Slovene but invites the reader to wonder whether it means 5 March or 3 May, which is a poor property for evidence.</w:t>
      </w:r>
    </w:p>
    <w:p>
      <w:pPr>
        <w:spacing w:after="120" w:line="264"/>
      </w:pPr>
      <w:r>
        <w:rPr>
          <w:rFonts w:ascii="Calibri" w:cs="Calibri" w:eastAsia="Calibri" w:hAnsi="Calibri"/>
          <w:color w:val="1A1A1A"/>
          <w:sz w:val="21"/>
          <w:szCs w:val="21"/>
        </w:rPr>
        <w:t>The distinction has a practical edge. Inside a sentence the model does the conversion. A segment that is only a date or an amount never reaches the model at all, because the patterns above exclude it from translation - so a Datum column in a spreadsheet stayed in Slovene while the same date in prose came out in English, and the deliverable contradicted itself column by column. Those whole-segment values are now converted in code: exact, consistent, and without the 48 seconds a model call would cost.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4.4 Reuse the translator’s prior work</w:t>
      </w:r>
    </w:p>
    <w:p>
      <w:pPr>
        <w:spacing w:after="120" w:line="264"/>
      </w:pPr>
      <w:r>
        <w:rPr>
          <w:rFonts w:ascii="Calibri" w:cs="Calibri" w:eastAsia="Calibri" w:hAnsi="Calibri"/>
          <w:color w:val="1A1A1A"/>
          <w:sz w:val="21"/>
          <w:szCs w:val="21"/>
        </w:rPr>
        <w:t>The metric is edits this particular translator makes. A draft that matches their established renderings and register produces fewer corrections than an objectively similar draft that does not, so earlier translations are probably the single highest-value input available.</w:t>
      </w:r>
    </w:p>
    <w:p>
      <w:pPr>
        <w:spacing w:after="120" w:line="264"/>
      </w:pPr>
      <w:r>
        <w:rPr>
          <w:rFonts w:ascii="Calibri" w:cs="Calibri" w:eastAsia="Calibri" w:hAnsi="Calibri"/>
          <w:color w:val="1A1A1A"/>
          <w:sz w:val="21"/>
          <w:szCs w:val="21"/>
        </w:rPr>
        <w:t>They go anywhere in the project’s reference/ folder, both files of a pair in the same folder and named alike apart from a language suffix: lease-2023_English.docx beside lease-2023_German.pdf. The suffix names a language, not a role, so the same pair serves English→German and German→English work. Each side may be Word, PDF with a text layer, scanned PDF or plain text, whatever the other side is; a file without a suffix is listed and skipped rather than guessed. tr-ref lines each pair up sentence by sentence without a model — by length, with the numbers both sides share as anchors — and keeps only one-to-one pairs whose numbers agree. Numbers also confirm the alignment: a pair is reused only when it carries numbers its neighbours do not, or sits between two pairs that do. A sentence nothing confirms is offered instead, as REF_OPTIONS [[…]] (unconfirmed), because where a translation omits, adds or swaps a sentence, the pairs around the change still look aligned. tr-run then gives an identical source sentence the translator’s rendering instead of a draft, and tr-terms --reference proposes the glossary from those renderings.</w:t>
      </w:r>
    </w:p>
    <w:p>
      <w:pPr>
        <w:spacing w:after="120" w:line="264"/>
      </w:pPr>
      <w:r>
        <w:rPr>
          <w:rFonts w:ascii="Calibri" w:cs="Calibri" w:eastAsia="Calibri" w:hAnsi="Calibri"/>
          <w:color w:val="1A1A1A"/>
          <w:sz w:val="21"/>
          <w:szCs w:val="21"/>
        </w:rPr>
        <w:t>German takes a variant after a hyphen: lease-2023_German-CH.pdf is Swiss German, _German-AT Austrian, and _German or _German-DE Germany. One English original beside a Germany and a Swiss translation makes two pairs. A German translation is reused only in a project whose TR_TGT is its variant. One in another variant is never reused: where the project's own variant has no reference for a sentence it is offered as REF_OPTIONS, tagged with its variant — and a Germany rendering offered to a Swiss project is spelled ss for ß first — and tr-terms --reference leaves it out, since a Germany translation would propose Straße to a Swiss glossary. A German→English project reuses a pair whatever German its source is written in.</w:t>
      </w:r>
    </w:p>
    <w:p>
      <w:pPr>
        <w:spacing w:after="120" w:line="264"/>
      </w:pPr>
      <w:r>
        <w:rPr>
          <w:rFonts w:ascii="Calibri" w:cs="Calibri" w:eastAsia="Calibri" w:hAnsi="Calibri"/>
          <w:color w:val="1A1A1A"/>
          <w:sz w:val="21"/>
          <w:szCs w:val="21"/>
        </w:rPr>
        <w:t>Everything kept is listed in work/reference/pairs.tsv, to be read before the first run, because every line there marked yes or option can reach a deliverable word for word. Where the references render a sentence more than one way, the draft carries the choice instead of a model draft: REF_OPTIONS [[first]] | [[second]], for the translator to keep one and delete the rest — double square brackets, because Swiss German writes its quotation marks «…». The rendering found in the most documents comes first, counted once per document; a tie goes to the newest by the date the file itself records as last saved, because a copied file's date on disk is the day it was copied; and a pinned glossary term found in only one rendering puts that one first. The draft carries two; tr-ref --conflicts lists every rendering with its count and the date that ordered it. A translation read by OCR is offered the same way, tagged (OCR), and never reused on its own, since its misreadings would pass straight into the output; so is one rejoined at a line-end hyphen that may have been the word’s own, tagged (hyphenation). A reference file replaced with a new version is read again, and one that cannot be read is listed, loses its sentences, and makes tr-ref exit 1. References stay in their project: memory never crosses matters, and a reference is a client’s document.</w:t>
      </w:r>
    </w:p>
    <w:p>
      <w:pPr>
        <w:spacing w:after="120" w:line="264"/>
      </w:pPr>
      <w:r>
        <w:rPr>
          <w:rFonts w:ascii="Calibri" w:cs="Calibri" w:eastAsia="Calibri" w:hAnsi="Calibri"/>
          <w:color w:val="1A1A1A"/>
          <w:sz w:val="21"/>
          <w:szCs w:val="21"/>
        </w:rPr>
        <w:t>On invented documents with each sentence in turn omitted, added or swapped — 436 alignments — no wrong sentence was reused. About one offered sentence in ten was wrong where a translation departed from its original, and none where it did not; tests/test_references.py repeats the sweep. A reused sentence is not checked by tr-lint: it is the translator’s own work, and it never enters the translation memory. Harvesting terminology from references needs volume — on seventeen pairs tr-terms --reference proposes mostly noise.</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hAnsi="Calibri"/>
          <w:color w:val="1A1A1A"/>
          <w:sz w:val="21"/>
        </w:rPr>
        <w:t xml:space="preserve">Check names, dates, case numbers and amounts against the page. Diacritics matter less than they look: a dropped caron usually leaves a non-word that Slovene spell-check flags, and the residue is the handful of pairs that are both real words. Numbers have no such safety net — a misread digit is a perfectly well-formed token, so nothing downstream will ever question it. Words Tesseract could not read at all are already marked </w:t>
      </w:r>
      <w:r>
        <w:rPr>
          <w:rFonts w:ascii="Calibri" w:hAnsi="Calibri"/>
          <w:color w:val="1A1A1A"/>
          <w:sz w:val="21"/>
        </w:rPr>
        <w:t>OCR_ILLEGIBLE</w:t>
      </w:r>
      <w:r>
        <w:rPr>
          <w:rFonts w:ascii="Calibri" w:hAnsi="Calibri"/>
          <w:color w:val="1A1A1A"/>
          <w:sz w:val="21"/>
        </w:rPr>
        <w:t xml:space="preserve"> by tr-ocrtext, which keeps the per-word confidence that pdftotext throws away. OCR output is cached, so stage 2 does not re-run it.</w:t>
      </w:r>
    </w:p>
    <w:p>
      <w:pPr>
        <w:spacing w:after="120" w:line="264"/>
      </w:pPr>
      <w:r>
        <w:rPr>
          <w:rFonts w:ascii="Calibri" w:hAnsi="Calibri"/>
          <w:color w:val="1A1A1A"/>
          <w:sz w:val="21"/>
        </w:rPr>
        <w:t>A second engine is the only check on a misread digit. A vision model reads a page by a completely different mechanism than Tesseract, so their failure modes are largely uncorrelated: where both produce the same number it is almost certainly right, and where they differ one of them is wrong. ocr-check.py runs both over the same pages and reports only counts — never document text — so its output is safe to discuss outside the container.</w:t>
      </w:r>
    </w:p>
    <w:p>
      <w:pPr>
        <w:spacing w:after="120" w:line="264"/>
      </w:pPr>
      <w:r>
        <w:rPr>
          <w:rFonts w:ascii="Calibri" w:hAnsi="Calibri"/>
          <w:b/>
          <w:color w:val="1A1A1A"/>
          <w:sz w:val="21"/>
        </w:rPr>
        <w:t>Measured on real evidence.</w:t>
      </w:r>
      <w:r>
        <w:rPr>
          <w:rFonts w:ascii="Calibri" w:hAnsi="Calibri"/>
          <w:color w:val="1A1A1A"/>
          <w:sz w:val="21"/>
        </w:rPr>
        <w:t xml:space="preserve"> deepseek-ocr:3b against Tesseract over eight pages of two scanned prosecution documents. Diacritics agreed almost exactly (64/64, 72/72, 83/83 on the pages carrying most of them), which settles whether a 3B model reads Slovene. Numbers are where it earns its keep: on seven pages the two engines agreed on every number, and on the eighth — the one page also carrying 27 low-confidence words and four hand-filled digit tokens — they disagreed on fourteen, none explainable as a formatting difference.</w:t>
      </w:r>
    </w:p>
    <w:p>
      <w:pPr>
        <w:spacing w:after="120" w:line="264"/>
      </w:pPr>
      <w:r>
        <w:rPr>
          <w:rFonts w:ascii="Calibri" w:hAnsi="Calibri"/>
          <w:color w:val="1A1A1A"/>
          <w:sz w:val="21"/>
        </w:rPr>
        <w:t>It costs about 3 minutes a page against seconds for Tesseract, so it is affordable on the pages that carry the risk and not across a whole corpus. That is what --gate decides: the vision pass runs only where the share of Tesseract words below the confidence floor reaches the threshold. The default of 3% comes from those eight pages — the page with fourteen disagreements sat at 5%, the clean ones at 0–2%. Two points is thin evidence; raise it if the second engine keeps confirming the first.</w:t>
      </w:r>
    </w:p>
    <w:p>
      <w:pPr>
        <w:spacing w:after="120" w:line="264"/>
      </w:pPr>
      <w:r>
        <w:rPr>
          <w:rFonts w:ascii="Calibri" w:hAnsi="Calibri"/>
          <w:color w:val="1A1A1A"/>
          <w:sz w:val="21"/>
        </w:rPr>
        <w:t>The third criterion is deliberately not a rate. A page can be 99% clean and still carry one wrong digit in an amount, and nothing downstream can catch it, so a disagreement is not a reason to stop the project - it is a page that gets read against the original. The first two thresholds come from eight pages of two real documents and are starting points with a stated basis, not laws. The Phase 1 files measured 1% and 3%.</w:t>
      </w:r>
    </w:p>
    <w:p>
      <w:pPr>
        <w:spacing w:after="120" w:line="264"/>
      </w:pPr>
      <w:r>
        <w:rPr>
          <w:rFonts w:ascii="Calibri" w:hAnsi="Calibri"/>
          <w:color w:val="1A1A1A"/>
          <w:sz w:val="21"/>
        </w:rPr>
        <w:t>tr-ocrstat answers this for a whole corpus rather than one file: it reports the unreadable-token rate per PDF, worst first, against the thresholds below, and exits non-zero if anything is in the stop band or any text layer cannot be measured. Use it before tr-run; use ocr-check.py on the individual pages whose numbers carry weight.</w:t>
      </w:r>
      <w:r>
        <w:rPr>
          <w:rFonts w:ascii="Calibri" w:hAnsi="Calibri"/>
          <w:color w:val="1A1A1A"/>
          <w:sz w:val="21"/>
        </w:rPr>
      </w:r>
    </w:p>
    <w:p>
      <w:pPr>
        <w:spacing w:after="120" w:line="264"/>
      </w:pPr>
      <w:r>
        <w:rPr>
          <w:rFonts w:ascii="Calibri" w:hAnsi="Calibri"/>
          <w:color w:val="1A1A1A"/>
          <w:sz w:val="21"/>
        </w:rPr>
        <w:t>A text layer written by an earlier tr-inventory --count --with-ocr cannot be measured. That version made it with plain pdftotext, so nothing in it is marked OCR_ILLEGIBLE, and tr-pdf reused it for translation. Such layers are recognisable — pdftotext leaves a form feed after every page, which neither tr-ocrtext nor the born-digital path writes — so tr-ocrstat names them rather than reporting 0% and exits non-zero, and tr-inventory --count --with-ocr has tr-pdf read each such file again, however unchanged, keeping the old layer as &lt;name&gt;.txt.unmarked. tr-run then drafts again every deliverable made from a layer that changed.</w:t>
      </w:r>
      <w:r>
        <w:rPr>
          <w:rFonts w:ascii="Calibri" w:hAnsi="Calibri"/>
          <w:color w:val="1A1A1A"/>
          <w:sz w:val="21"/>
        </w:rPr>
      </w:r>
    </w:p>
    <w:p>
      <w:pPr>
        <w:spacing w:after="120" w:line="264"/>
      </w:pPr>
      <w:r>
        <w:rPr>
          <w:rFonts w:ascii="Calibri" w:hAnsi="Calibri"/>
          <w:b/>
          <w:color w:val="1A1A1A"/>
          <w:sz w:val="21"/>
        </w:rPr>
        <w:t>What counts as too poor to translate.</w:t>
      </w:r>
      <w:r>
        <w:rPr>
          <w:rFonts w:ascii="Calibri" w:hAnsi="Calibri"/>
          <w:color w:val="1A1A1A"/>
          <w:sz w:val="21"/>
        </w:rPr>
        <w:t xml:space="preserve"> Not a judgement call, because the measurements already exist. tr-ocrtext reports the share of tokens Tesseract scored below its confidence floor; ocr-check.py reports the share of doubtful words and the number disagreements between the two engines. Unreadable tokens: under 5% proceed, 5-20% inspect, 20% or more stop. Doubtful words: under 3% proceed, 3-10% run the cross-check, over 10% stop. Number disagreements: any at all, and a person reads that page.</w:t>
      </w:r>
    </w:p>
    <w:p>
      <w:pPr>
        <w:spacing w:after="120" w:line="264"/>
      </w:pPr>
      <w:r>
        <w:rPr>
          <w:rFonts w:ascii="Calibri" w:hAnsi="Calibri"/>
          <w:color w:val="1A1A1A"/>
          <w:sz w:val="21"/>
        </w:rPr>
        <w:t>The earlier figure of 6.7 minutes a page, and the caveat that only a clean render had been tested, both belonged to qwen3.6 and are superseded. The smaller purpose-built model is roughly thirty times faster on the same page and has now been run on real scans, skew, stamps and handwriting included.</w:t>
      </w:r>
    </w:p>
    <w:p>
      <w:pPr>
        <w:pBdr>
          <w:top w:val="single" w:color="E2D8C8" w:sz="2" w:space="3"/>
          <w:bottom w:val="single" w:color="E2D8C8" w:sz="2" w:space="3"/>
          <w:left w:val="single" w:color="C15E3C" w:sz="12" w:space="8"/>
        </w:pBdr>
        <w:shd w:fill="F7F2E9" w:val="clear"/>
        <w:spacing w:after="160" w:before="40" w:line="240"/>
        <w:ind w:left="259"/>
      </w:pPr>
      <w:r>
        <w:rPr>
          <w:rFonts w:ascii="Consolas" w:hAnsi="Consolas"/>
          <w:b/>
          <w:color w:val="A8432A"/>
          <w:sz w:val="17"/>
        </w:rPr>
        <w:t>ocr-check.py</w:t>
      </w:r>
      <w:r>
        <w:rPr>
          <w:rFonts w:ascii="Consolas" w:hAnsi="Consolas"/>
          <w:color w:val="35322E"/>
          <w:sz w:val="17"/>
        </w:rPr>
        <w:t xml:space="preserve"> </w:t>
      </w:r>
      <w:r>
        <w:rPr>
          <w:rFonts w:ascii="Consolas" w:hAnsi="Consolas"/>
          <w:color w:val="35322E"/>
          <w:sz w:val="17"/>
        </w:rPr>
        <w:t>source/zapisnik.pdf</w:t>
      </w:r>
      <w:r>
        <w:rPr>
          <w:rFonts w:ascii="Consolas" w:hAnsi="Consolas"/>
          <w:color w:val="35322E"/>
          <w:sz w:val="17"/>
        </w:rPr>
        <w:t xml:space="preserve"> </w:t>
      </w:r>
      <w:r>
        <w:rPr>
          <w:rFonts w:ascii="Consolas" w:hAnsi="Consolas"/>
          <w:color w:val="1F6E8C"/>
          <w:sz w:val="17"/>
        </w:rPr>
        <w:t>--pages</w:t>
      </w:r>
      <w:r>
        <w:rPr>
          <w:rFonts w:ascii="Consolas" w:hAnsi="Consolas"/>
          <w:color w:val="35322E"/>
          <w:sz w:val="17"/>
        </w:rPr>
        <w:t xml:space="preserve"> </w:t>
      </w:r>
      <w:r>
        <w:rPr>
          <w:rFonts w:ascii="Consolas" w:hAnsi="Consolas"/>
          <w:color w:val="35322E"/>
          <w:sz w:val="17"/>
        </w:rPr>
        <w:t>2</w:t>
      </w:r>
      <w:r>
        <w:rPr>
          <w:rFonts w:ascii="Consolas" w:hAnsi="Consolas"/>
          <w:color w:val="35322E"/>
          <w:sz w:val="17"/>
        </w:rPr>
        <w:t xml:space="preserve">   </w:t>
      </w:r>
      <w:r>
        <w:rPr>
          <w:rFonts w:ascii="Consolas" w:hAnsi="Consolas"/>
          <w:color w:val="8C8578"/>
          <w:sz w:val="17"/>
        </w:rPr>
        <w:t># both engines, then compare</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spacing w:after="120" w:line="264"/>
      </w:pPr>
      <w:r>
        <w:rPr>
          <w:rFonts w:ascii="Calibri" w:hAnsi="Calibri"/>
          <w:color w:val="1A1A1A"/>
          <w:sz w:val="21"/>
        </w:rPr>
        <w:t>tools/phase1-setup.sh runs the whole sequence rather than leaving it to be reassembled from these steps. It expects two sets of three pages prepared beforehand — source/phase1/mt/ to be machine-drafted and source/phase1/scratch/ translated cold — and it refuses to continue past the OCR stage until the text layer has been looked at, because on a corpus of scans an unverified draft measures Tesseract rather than the tooling. The two sets must not share content: whichever is done second is faster for having been read already, and the ratio would record that instead.</w:t>
      </w:r>
    </w:p>
    <w:p>
      <w:pPr>
        <w:pBdr>
          <w:bottom w:val="single" w:color="E2D8C8" w:sz="2" w:space="3"/>
          <w:left w:val="single" w:color="C15E3C" w:sz="12" w:space="8"/>
        </w:pBdr>
        <w:shd w:fill="F7F2E9" w:val="clear"/>
        <w:spacing w:after="160" w:before="0" w:line="240"/>
        <w:ind w:left="259"/>
      </w:pPr>
      <w:r>
        <w:rPr>
          <w:rFonts w:ascii="Consolas" w:hAnsi="Consolas"/>
          <w:b/>
          <w:color w:val="A8432A"/>
          <w:sz w:val="17"/>
        </w:rPr>
        <w:t>tools/phase1-setup.sh</w:t>
      </w:r>
    </w:p>
    <w:p>
      <w:pPr>
        <w:spacing w:after="120" w:line="264"/>
      </w:pPr>
      <w:r>
        <w:rPr>
          <w:rFonts w:ascii="Calibri" w:hAnsi="Calibri"/>
          <w:color w:val="1A1A1A"/>
          <w:sz w:val="21"/>
        </w:rPr>
        <w:t>Record the timings in tools/phase1-tally.tsv, which holds minutes per page and a reason for each edit — terminology, register, numbers, additions, OCR — and no document text, so it can be discussed outside the container.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the drop; after new files arrive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hAnsi="Calibri"/>
          <w:b/>
          <w:color w:val="1A1A1A"/>
          <w:sz w:val="21"/>
        </w:rPr>
        <w:t>Closing does not delete anything.</w:t>
      </w:r>
      <w:r>
        <w:rPr>
          <w:rFonts w:ascii="Calibri" w:hAnsi="Calibri"/>
          <w:color w:val="1A1A1A"/>
          <w:sz w:val="21"/>
        </w:rPr>
        <w:t xml:space="preserve"> case-close unmounts the container; it does not empty it. Every source, draft and memory entry is still inside the container file and returns unchanged at the next case-open — the mountpoint only looks empty because nothing is mounted there. The other half of that is retention: a finished matter stays in the container at full size until someone opens it and deletes the project directory by hand. No script removes client work, so deciding when a matter should stop being held is a manual step (container document S4.5).</w:t>
      </w:r>
    </w:p>
    <w:p>
      <w:pPr>
        <w:spacing w:after="120" w:line="264"/>
      </w:pPr>
      <w:r>
        <w:rPr>
          <w:rFonts w:ascii="Calibri" w:cs="Calibri" w:eastAsia="Calibri" w:hAnsi="Calibri"/>
          <w:color w:val="1A1A1A"/>
          <w:sz w:val="21"/>
          <w:szCs w:val="21"/>
        </w:rPr>
        <w:t xml:space="preserve">tr-run is resumable at two levels. It skips a file whose deliverable is current, and within a file every segment already in the memory is reused rather than regenerated. Interrupting it costs at most one segment. Re-running after editing the glossary is cheap for the same reason: only the segments containing a changed term go back to the model.</w:t>
      </w:r>
    </w:p>
    <w:p>
      <w:pPr>
        <w:spacing w:after="120" w:line="264"/>
      </w:pPr>
      <w:r>
        <w:rPr>
          <w:rFonts w:ascii="Calibri" w:cs="Calibri" w:eastAsia="Calibri" w:hAnsi="Calibri"/>
          <w:color w:val="1A1A1A"/>
          <w:sz w:val="21"/>
          <w:szCs w:val="21"/>
        </w:rPr>
        <w:t>A deliverable is drafted again when anything that made it has changed since tr-run wrote it. work/deliverables.tsv records, for each, hashes of the source file and of a PDF's text layer, the glossary and non-translatable patterns, what tr-ref kept, the model, the prompt version and the kit's drafting code; tr-run compares them on the next run and prints a redo line naming what changed, and tr-status reports the same. Memory rows are finished again as they are read, so a fix to how drafts are finished reaches rows written before it. A deliverable changed after tr-run wrote it, as a translator's corrections in place would change it, is never overwritten: tr-run lists it as kept, and drafts it again once it is moved aside. The prompt version is not typed by anyone: it is derived from the prompt text each language pair is actually sent, so editing prompts/translate.txt gives the pairs whose text changed a new version and leaves the others alone. The Slovene↔English text in use since v6 keeps that name. That condition was missing until it mattered: the prompt version is part of the memory's key, but tr-run skipped the whole file on mtime alone, before the memory was consulted, so a bump changed nothing. A prompt correction followed by a re-run reported three files skipped in three seconds and left the defective drafts in place. To force a redo, move the output aside or delete it.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hAnsi="Consolas"/>
          <w:color w:val="8A4B9E"/>
          <w:sz w:val="17"/>
        </w:rPr>
        <w:t>TR_PROMPT_VERSION=</w:t>
      </w:r>
      <w:r>
        <w:rPr>
          <w:rFonts w:ascii="Consolas" w:hAnsi="Consolas"/>
          <w:color w:val="35322E"/>
          <w:sz w:val="17"/>
        </w:rPr>
        <w:t>redo-2026-08</w:t>
      </w:r>
      <w:r>
        <w:rPr>
          <w:rFonts w:ascii="Consolas" w:hAnsi="Consolas"/>
          <w:color w:val="35322E"/>
          <w:sz w:val="17"/>
        </w:rPr>
        <w:t xml:space="preserve"> </w:t>
      </w:r>
      <w:r>
        <w:rPr>
          <w:rFonts w:ascii="Consolas" w:hAnsi="Consolas"/>
          <w:color w:val="35322E"/>
          <w:sz w:val="17"/>
        </w:rPr>
        <w:t>tr-run</w:t>
      </w:r>
      <w:r>
        <w:rPr>
          <w:rFonts w:ascii="Consolas" w:hAnsi="Consolas"/>
          <w:color w:val="35322E"/>
          <w:sz w:val="17"/>
        </w:rPr>
        <w:t xml:space="preserve">          </w:t>
      </w:r>
      <w:r>
        <w:rPr>
          <w:rFonts w:ascii="Consolas" w:hAnsi="Consolas"/>
          <w:color w:val="8C8578"/>
          <w:sz w:val="17"/>
        </w:rPr>
        <w:t># any unused value; ignore memory</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segment errored out and contains no translation. Fix and re-run first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Highest consequence class in legal evidence</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LONG</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target is far longer than the source, or runs to several lines where the source is one: text the model added. On a bare heading that can be a whole invented paragraph. tr-run refuses such replies; this finds any already in a memory</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DEC</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English number that could be a section, a clause or a time — 5.10, 3.2, 14.30 — was written as a decimal. Check that it is an amount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Findings are sorted by severity, so the top of the file is where to start. Numeric comparison normalizes separators, so 1.234,56 and 1,234.56 are treated as the same number, and it folds locale conversions together as well: a month that became a word and an hour that shifted by twelve are the same value written differently, not a missing number. Without that, every date in the corpus raised a finding, and legal documents are made of dates.</w:t>
      </w:r>
    </w:p>
    <w:p>
      <w:r>
        <w:br w:type="page"/>
      </w:r>
    </w:p>
    <w:p>
      <w:pPr>
        <w:pStyle w:val="Heading1"/>
        <w:spacing w:after="130" w:before="340"/>
      </w:pPr>
      <w:r>
        <w:rPr>
          <w:rFonts w:ascii="Calibri" w:cs="Calibri" w:eastAsia="Calibri" w:hAnsi="Calibri"/>
          <w:b/>
          <w:bCs/>
          <w:color w:val="C15E3C"/>
          <w:sz w:val="29"/>
          <w:szCs w:val="29"/>
        </w:rPr>
        <w:t>8.1 The error the linter cannot catch</w:t>
      </w:r>
    </w:p>
    <w:p>
      <w:pPr>
        <w:pStyle w:val="Heading1"/>
        <w:spacing w:after="130" w:before="340"/>
      </w:pPr>
      <w:r>
        <w:rPr>
          <w:rFonts w:ascii="Calibri" w:cs="Calibri" w:eastAsia="Calibri" w:hAnsi="Calibri"/>
          <w:b/>
          <w:bCs/>
          <w:color w:val="C15E3C"/>
          <w:sz w:val="29"/>
          <w:szCs w:val="29"/>
        </w:rPr>
        <w:t>Give the model a source that quotes a provision and stops short of the famous continuation, and it finishes the sentence from memory. Asked to translate “everyone is entitled to a fair hearing before an independent and impartial tribunal”, it returns that plus “established by law” - three words the source does not contain. That is an interpretation presented as a translation, and in a certified document it is the translator's name on it.</w:t>
      </w:r>
    </w:p>
    <w:p>
      <w:pPr>
        <w:pStyle w:val="Heading1"/>
        <w:spacing w:after="130" w:before="340"/>
      </w:pPr>
      <w:r>
        <w:rPr>
          <w:rFonts w:ascii="Calibri" w:cs="Calibri" w:eastAsia="Calibri" w:hAnsi="Calibri"/>
          <w:b/>
          <w:bCs/>
          <w:color w:val="C15E3C"/>
          <w:sz w:val="29"/>
          <w:szCs w:val="29"/>
        </w:rPr>
        <w:t>Two properties make this the worst class of error in the system. It reads perfectly, so nothing draws the eye to it. And it carries no number, no glossary term and no non-translatable fragment, so no deterministic check can see it - every check in the table above passes.</w:t>
      </w:r>
    </w:p>
    <w:p>
      <w:pPr>
        <w:pStyle w:val="Heading1"/>
        <w:spacing w:after="130" w:before="340"/>
      </w:pPr>
      <w:r>
        <w:rPr>
          <w:rFonts w:ascii="Calibri" w:cs="Calibri" w:eastAsia="Calibri" w:hAnsi="Calibri"/>
          <w:b/>
          <w:bCs/>
          <w:color w:val="C15E3C"/>
          <w:sz w:val="29"/>
          <w:szCs w:val="29"/>
        </w:rPr>
        <w:t>Nor is it a prompt problem. Four prompt variants were tried, including one whose rule named the failure and explained why it is wrong; the model complied with everything else in that prompt and completed the provision anyway. Measured over ten well-known provisions, two were completed - both ECHR article 6, the most quoted text in criminal procedure.</w:t>
      </w:r>
    </w:p>
    <w:p>
      <w:pPr>
        <w:pStyle w:val="Heading1"/>
        <w:spacing w:after="130" w:before="340"/>
      </w:pPr>
      <w:r>
        <w:rPr>
          <w:rFonts w:ascii="Calibri" w:cs="Calibri" w:eastAsia="Calibri" w:hAnsi="Calibri"/>
          <w:b/>
          <w:bCs/>
          <w:color w:val="C15E3C"/>
          <w:sz w:val="29"/>
          <w:szCs w:val="29"/>
        </w:rPr>
        <w:t>What can be detected is the context. Any segment citing a statute or treaty is flagged, and those are the segments to read against the source word by word. Asking the model to audit its own output against the source caught both real additions with no false alarms, at about 12 seconds a segment - a second opinion is available if wanted, and applied only to flagged segments it costs a few percent of a run rather than several times it.</w:t>
      </w:r>
    </w:p>
    <w:p>
      <w:pPr>
        <w:pStyle w:val="Heading1"/>
        <w:spacing w:after="130" w:before="340"/>
      </w:pPr>
      <w:r>
        <w:rPr>
          <w:rFonts w:ascii="Calibri" w:cs="Calibri" w:eastAsia="Calibri" w:hAnsi="Calibri"/>
          <w:b/>
          <w:bCs/>
          <w:color w:val="C15E3C"/>
          <w:sz w:val="29"/>
          <w:szCs w:val="29"/>
        </w:rPr>
        <w:t>The gap that remains: a famous provision paraphrased without a citation marker is not flagged, and nothing detects it.</w:t>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Add a pattern to nontranslatable.txt; verify with is_translatable() per S4.3</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root holding all projects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TR_ROOT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(active project)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(by language pair)</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Overrides the model chosen for the pair: gams3:q8 for sl↔en, eurollm9b-2512:q8 for en↔de, none for sl↔de. Set it in a project's project.conf, not in ~/.bashrc</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TR_SRC / TR_TGT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 en</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Any two of sl, en, de. TR_TGT may name a German variant: de-DE (the same as de); de-CH, drafted by the Swiss Federal Chancellery's rules; or de-AT, which tr-ref and tr-terms read but drafting refuses until its conventions are settled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Set if the client requires it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TR_NUM_CTX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8192</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(from the prompt text)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only. Derived per pair from the prompt text actually sent, so editing the prompt changes it; sl↔en is v6</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of the source documents: eng for an English drop,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TR_DICTS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/usr/share/hunspell</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tr-inventory looks for the hunspell word lists it detects language with</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TR_OCR_SAMPLE_LANGS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slv+hrv+eng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for the detection sampling pass on scanned PDFs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deepseek-ocr:3b</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Second OCR engine used by ocr-check.py. qwen3.6 is the fallback</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TR_VISION_PROMPT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Extract the text in the image.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for that model. It transcribes; it does not follow instructions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TR_OCR_MIN_CONF</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40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confidence floor in tr-ocrtext. Below it, a word is marked unreadable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TR_ILLEGIBLE_MARK</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tr-ocrtext writes in place of a word it could not read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CLAUDE_DESKTOP_BIN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/usr/bin/claude-desktop</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real binary case-guard-desktop launches once it has checked the mount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bl>
    <w:p>
      <w:pPr>
        <w:spacing w:after="120" w:line="264"/>
      </w:pPr>
      <w:r>
        <w:rPr>
          <w:rFonts w:ascii="Calibri" w:cs="Calibri" w:eastAsia="Calibri" w:hAnsi="Calibri"/>
          <w:color w:val="1A1A1A"/>
          <w:sz w:val="21"/>
          <w:szCs w:val="21"/>
        </w:rPr>
        <w:t>For an English→German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example-en-de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~/translation-work/confidential-projects/example-en-de/project.conf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en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de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eng</w:t>
      </w:r>
    </w:p>
    <w:p>
      <w:pPr>
        <w:spacing w:after="120" w:line="264"/>
      </w:pPr>
      <w:r>
        <w:rPr>
          <w:rFonts w:ascii="Calibri" w:cs="Calibri" w:eastAsia="Calibri" w:hAnsi="Calibri"/>
          <w:color w:val="1A1A1A"/>
          <w:sz w:val="21"/>
          <w:szCs w:val="21"/>
        </w:rPr>
        <w:t>Nothing else is set: the model follows the pair. GaMS3 translates Slovene↔English; EuroLLM-9B-Instruct-2512 (Q8_0) translates English↔German, because German is absent from every stage of GaMS3's training. tr-run names the model in its banner and refuses to start when it is not installed. Slovene↔German has no model chosen and refuses to translate.</w:t>
      </w:r>
    </w:p>
    <w:p>
      <w:pPr>
        <w:spacing w:after="120" w:line="264"/>
      </w:pPr>
      <w:r>
        <w:rPr>
          <w:rFonts w:ascii="Calibri" w:cs="Calibri" w:eastAsia="Calibri" w:hAnsi="Calibri"/>
          <w:color w:val="1A1A1A"/>
          <w:sz w:val="21"/>
          <w:szCs w:val="21"/>
        </w:rPr>
        <w:t>TR_TGT=de is German as written in Germany, and de-DE means the same, so a project may use either without touching its translation memory. TR_TGT=de-CH drafts Swiss German by the Swiss Federal Chancellery's Schreibweisungen: a decimal comma, with thousands from five digits separated by a non-breaking space (12 450,00; 1250 stays whole); a decimal point only beside a currency, the code first (CHF 1250.50, EUR 12 450.00), and whole francs as Fr. 20.⁠–; times as 14.30 and 9.05; dates as in Germany; and ss for ß, except in a word the source has too, such as a name or an address. The prompt carries these rules, and the kit applies them itself to values standing alone, to amounts the model left in English form, and to spelling. A number counts as money only beside a currency, because a converter cannot see the column it stands in. de-AT is recognised — tr-ref files references in it and tr-terms --reference reads them — but drafting into it is refused until its conventions are settled. TR_SRC takes no variant; a Swiss German source is de.</w:t>
      </w:r>
    </w:p>
    <w:p>
      <w:pPr>
        <w:spacing w:after="120" w:line="264"/>
      </w:pPr>
      <w:r>
        <w:rPr>
          <w:rFonts w:ascii="Calibri" w:cs="Calibri" w:eastAsia="Calibri" w:hAnsi="Calibri"/>
          <w:color w:val="1A1A1A"/>
          <w:sz w:val="21"/>
          <w:szCs w:val="21"/>
        </w:rPr>
        <w:t>Measured on this machine with invented English legal text: about 10 seconds a segment over 42 requests, none failed, against 48 for GaMS3. Unlike GaMS3, most of that is generation, at 3 tokens a second, rather than reading the prompt, so batching short segments saves less. Two cautions from the same runs. A bare label or heading is where the model invents: "Case number" came back as a fictitious German court reference, and the heading STATEMENT as a whole invented declaration. tr-run gives such a reply one firmer retry — a reply far longer than its source, or one carrying a number the source does not have. A reply still far too long after it is written as [TRANSLATION FAILED]; one still carrying an extra number is kept and reported by tr-lint as NUM, because "dva tedna" rendered as "2 weeks" adds a digit without adding anything false. Over eight number-prone labels, three replies invented something and none did after the retry. And no German draft has yet been reviewed by a translator.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GaMS3-12B-Instruct for sl↔en; EuroLLM-9B-Instruct-2512 for en↔de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 is Slovene-specific; outperforms base Gemma 3 12B on EN→SL and rivals GPT-4o on the Slovene arena. German is absent from its training, so English↔German goes to EuroLLM, which covers every EU official language and has translation in its instruction tuning. The model is chosen by pair in trlib, so a German project cannot fall back to GaMS3 unnoticed</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Dates, amounts, times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Converted, not verbatim</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translator's rule. English takes March 5, 2024 and a decimal point; Slovene takes 5. marec 2024 - ordinal period, lowercase month, spaced - and a decimal comma. Whole-segment values are converted in code, without a model call. From English, a number that may be a reference or a time — Section 5.10, at 14.30 — is left as it stands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Institution names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Translated; source bracketed on first mention per document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court's name is not an identifier, so it is translated - listing them beside case numbers had made two models read that rule two ways, one leaving Slovene in the output. The source form is kept in parentheses on the first mention in each document and dropped thereafter, because a reader may open any file first and each has to stand on its own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Completed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Flag the context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model finishes famous provisions from memory. No prompt stopped it and no deterministic check sees it, so segments citing a statute are flagged for word-by-word review</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Disk encryption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only - accepted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root filesystem is plain ext4 and stays that way. Retrofitting means re-encrypting in place or reinstalling, and the container is what actually protects the case material at rest. Accepted residual risk, named so it is not rediscovered as a surprise: swap, temporary files, and anything copied out for review are in the clear, as is everything while the container is open. One part of that has since been closed rather than accepted: OCR renders every page of a scan to a PNG, and on an all-scanned corpus that put the whole evidence bundle through /tmp - tmpfs, so RAM-backed and swappable to the plain 8 GB swapfile, and left behind entirely when a run is killed before its cleanup. Those renders, and everything ocrmypdf and Ghostscript write while they work, now go to &lt;project&gt;/work/tmp inside the container: the kit's own through trlib.case_tmpdir, and the rest through a TMPDIR each tr-pdf run makes there and removes when it ends. Encrypted swap is the cheapest of the remaining mitigations if the rest is revisited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Machine-assisted drafts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Permitted, no disclosure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what counts is the final product, not how it was produced. Most of the trade already edits machine output. No obligation to tell the court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Confidentiality</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Premises, not paperwork</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Acceptable so long as the texts never leave the translator's premises, and no visitors are received there. Nothing needed in writing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Transfer to translator</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USB stick, hand-carried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Machines sit on adjacent tables. The translator judges the crossing not a practical risk; it is the one point where material leaves the container, so it is written down rather than assumed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Billing unit</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Source words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tr-inventory --count reports. Segments are counted alongside because they govern machine time, which is a different question from what is owed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Files not in the source language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Excluded from work and billing</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Which is why triage tracks them: by-lang/*.txt locates them so they can be pulled out before translation starts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Quoted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Render only what is present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Never completed from the instrument's official text. Where no established translation exists the source is left with a visible marker, and the translator supplies the wording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Acronym expansion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Footnote, not inline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Expanding KZ-1 in the body harms readability and spacing. A footnote mark carries the full form</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Illegible source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confirmed the convention; the spelling then changed. [ILLEGIBLE] cannot be selected with a double-click, because word selection stops at the brackets and leaves them behind after a paste - an unwelcome complication for the person replacing every one of them by hand. OCR_ILLEGIBLE selects whole, since underscore is a word character, and unlike _ILLEGIBLE_ it has no leading or trailing underscore for Word or LibreOffice to autoformat into underlining. Override with TR_ILLEGIBLE_MARK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Certification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Batch form, stamp on paper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 per-document certification block. .docx primary, .pdf acceptable, .xlsx for tables since text formats handle them poorly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Language pairs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sl↔en and en↔de; sl↔de not yet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Every one of the three can be source or target. Slovene↔German has no model chosen and refuses to translate: the model researched for it is not installed, and pivoting through English doubles the error</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version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Derived from the prompt 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hand-bumped string invalidated every pair at once and could be forgotten. A hash of the text each pair is actually sent changes exactly when that text does. The two v6 texts keep the name v6, so existing memory stays valid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Reference translations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Reused when identical and agreed; otherwise offered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An identical source sentence takes the translator's own rendering with no model call. Only one-to-one pairs whose numbers agree are kept, and only those that numbers confirm are reused; a sentence nothing confirms is offered tagged (unconfirmed). Where references disagree, the draft carries REF_OPTIONS with the two leading renderings — most documents first, then the newest by the file's own saved date, a pinned glossary term ahead of both — because choosing between human renderings is the translator's decision. OCR-read translations, and another variant's where the project's own has none, are offered tagged and never reused on their own. They stay in their project, because memory never crosses matters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German variants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target setting; plain de is Germany</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TR_TGT names de-DE, de-AT or de-CH, and de-DE is read as de, so a Germany project keeps its memory however the target is spelled. Swiss drafts follow the Swiss Federal Chancellery: a number counts as money, with a decimal point, only beside a currency, because a converter cannot see the column it stands in; and ß becomes ss except in a word the source has too, so names and addresses stay as written. Austrian drafts are refused until their conventions are settled, rather than written by Germany's. A reference translation is reused only in its own variant, because renderings in two variants differ as a matter of course</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hAnsi="Calibri"/>
          <w:color w:val="1A1A1A"/>
          <w:sz w:val="21"/>
        </w:rPr>
        <w:t>Exercise a full open/close cycle with a project in the container. The container exists - LUKS2, 40 GB sparse, header backed up to ~/.case/header.bak - has been opened and closed repeatedly with a real project in it, and both guards have been seen to refuse. The bare mountpoint is immutable so a stray write cannot land there. What remains is a full translate-and-deliver pass, which Phase 1 provides.</w:t>
      </w:r>
    </w:p>
    <w:p>
      <w:pPr>
        <w:pStyle w:val="ListParagraph"/>
        <w:numPr>
          <w:ilvl w:val="0"/>
          <w:numId w:val="2"/>
        </w:numPr>
        <w:spacing w:after="70" w:line="264"/>
      </w:pPr>
      <w:r>
        <w:rPr>
          <w:rFonts w:ascii="Calibri" w:cs="Calibri" w:eastAsia="Calibri" w:hAnsi="Calibri"/>
          <w:color w:val="1A1A1A"/>
          <w:sz w:val="21"/>
          <w:szCs w:val="21"/>
        </w:rPr>
        <w:t>Copy ~/.case/header.bak somewhere off this machine. A corrupted LUKS header means the data is unrecoverable even with the correct passphrase, because the header holds the encrypted master key.</w:t>
      </w:r>
    </w:p>
    <w:p>
      <w:pPr>
        <w:pStyle w:val="ListParagraph"/>
        <w:numPr>
          <w:ilvl w:val="0"/>
          <w:numId w:val="2"/>
        </w:numPr>
        <w:spacing w:after="70" w:line="264"/>
      </w:pPr>
      <w:r>
        <w:rPr>
          <w:rFonts w:ascii="Calibri" w:hAnsi="Calibri"/>
          <w:color w:val="1A1A1A"/>
          <w:sz w:val="21"/>
        </w:rPr>
        <w:t>Calibrate the vision gate on more than two pages. The vision model has earned its place: over eight pages of real scans it agreed with Tesseract on every number except on the one page where fourteen disagreed, and that page was also the one Tesseract itself was least sure of (S5.3). --gate now defaults to 3%, drawn from a 5%-doubtful page that needed the check and 0-2% pages that did not. More pages would firm that line up.</w:t>
      </w:r>
    </w:p>
    <w:p>
      <w:pPr>
        <w:pStyle w:val="ListParagraph"/>
        <w:numPr>
          <w:ilvl w:val="0"/>
          <w:numId w:val="2"/>
        </w:numPr>
        <w:spacing w:after="70" w:line="264"/>
      </w:pPr>
      <w:r>
        <w:rPr>
          <w:rFonts w:ascii="Calibri" w:cs="Calibri" w:eastAsia="Calibri" w:hAnsi="Calibri"/>
          <w:color w:val="1A1A1A"/>
          <w:sz w:val="21"/>
          <w:szCs w:val="21"/>
        </w:rPr>
        <w:t>Establish how often the model completes a statutory provision from memory (S8.1). Two of ten well-known provisions, both ECHR article 6, is enough to know the risk is real and not enough to know its shape.</w:t>
      </w:r>
    </w:p>
    <w:p>
      <w:pPr>
        <w:pStyle w:val="ListParagraph"/>
        <w:numPr>
          <w:ilvl w:val="0"/>
          <w:numId w:val="2"/>
        </w:numPr>
        <w:spacing w:after="70" w:line="264"/>
      </w:pPr>
      <w:r>
        <w:rPr>
          <w:rFonts w:ascii="Calibri" w:cs="Calibri" w:eastAsia="Calibri" w:hAnsi="Calibri"/>
          <w:color w:val="1A1A1A"/>
          <w:sz w:val="21"/>
          <w:szCs w:val="21"/>
        </w:rPr>
        <w:t>Measure reference reuse on a real matter: how many source sentences are reused, and how often pairs.tsv needs correcting (S4.4).</w:t>
      </w:r>
    </w:p>
    <w:p>
      <w:pPr>
        <w:pStyle w:val="ListParagraph"/>
        <w:numPr>
          <w:ilvl w:val="0"/>
          <w:numId w:val="2"/>
        </w:numPr>
        <w:spacing w:after="70" w:line="264"/>
      </w:pPr>
      <w:r>
        <w:rPr>
          <w:rFonts w:ascii="Calibri" w:cs="Calibri" w:eastAsia="Calibri" w:hAnsi="Calibri"/>
          <w:color w:val="1A1A1A"/>
          <w:sz w:val="21"/>
          <w:szCs w:val="21"/>
        </w:rPr>
        <w:t>Have a translator review English→German drafts. EuroLLM is measured for speed and ran without a failed request, but no German output has been reviewed yet (S12).</w:t>
      </w:r>
    </w:p>
    <w:p>
      <w:pPr>
        <w:pStyle w:val="ListParagraph"/>
        <w:numPr>
          <w:ilvl w:val="0"/>
          <w:numId w:val="2"/>
        </w:numPr>
        <w:spacing w:after="70" w:line="264"/>
      </w:pPr>
      <w:r>
        <w:rPr>
          <w:rFonts w:ascii="Calibri" w:cs="Calibri" w:eastAsia="Calibri" w:hAnsi="Calibri"/>
          <w:color w:val="1A1A1A"/>
          <w:sz w:val="21"/>
          <w:szCs w:val="21"/>
        </w:rPr>
        <w:t>Run Phase 1 on a small subset of the real assignment. The translator's preference: real material, so no work is wasted. This is now the gating item - the professional questions are answered and recorded in S13.</w:t>
      </w:r>
    </w:p>
    <w:p>
      <w:pPr>
        <w:pStyle w:val="ListParagraph"/>
        <w:numPr>
          <w:ilvl w:val="0"/>
          <w:numId w:val="2"/>
        </w:numPr>
        <w:spacing w:after="70" w:line="264"/>
      </w:pPr>
      <w:r>
        <w:rPr>
          <w:rFonts w:ascii="Calibri" w:cs="Calibri" w:eastAsia="Calibri" w:hAnsi="Calibri"/>
          <w:color w:val="1A1A1A"/>
          <w:sz w:val="21"/>
          <w:szCs w:val="21"/>
        </w:rPr>
        <w:t>While editing the Phase 1 pages, tally why each edit was made: terminology, register, numbers, additions, omission, formatting. The ratio says whether to proceed; the tally says whether a poor ratio is fixable. Terminology is cheap to fix and there is no glossary yet, so a bad number driven by terminology is a different verdict from the same number driven by register.</w:t>
      </w:r>
    </w:p>
    <w:p>
      <w:pPr>
        <w:pStyle w:val="ListParagraph"/>
        <w:numPr>
          <w:ilvl w:val="0"/>
          <w:numId w:val="2"/>
        </w:numPr>
        <w:spacing w:after="70" w:line="264"/>
      </w:pPr>
      <w:r>
        <w:rPr>
          <w:rFonts w:ascii="Calibri" w:cs="Calibri" w:eastAsia="Calibri" w:hAnsi="Calibri"/>
          <w:color w:val="1A1A1A"/>
          <w:sz w:val="21"/>
          <w:szCs w:val="21"/>
        </w:rPr>
        <w:t>Build the visible marker for quoted provisions with no established translation (S8.1). The trigger needs settling: on a first run the memory is empty, so a naive rule marks every citation.</w:t>
      </w:r>
    </w:p>
    <w:p>
      <w:pPr>
        <w:pStyle w:val="ListParagraph"/>
        <w:numPr>
          <w:ilvl w:val="0"/>
          <w:numId w:val="2"/>
        </w:numPr>
        <w:spacing w:after="70" w:line="264"/>
      </w:pPr>
      <w:r>
        <w:rPr>
          <w:rFonts w:ascii="Calibri" w:cs="Calibri" w:eastAsia="Calibri" w:hAnsi="Calibri"/>
          <w:color w:val="1A1A1A"/>
          <w:sz w:val="21"/>
          <w:szCs w:val="21"/>
        </w:rPr>
        <w:t>Expand acronyms by footnote rather than inline. python-docx has no footnote API, so this means writing the XML directly.</w:t>
      </w:r>
    </w:p>
    <w:p>
      <w:pPr>
        <w:pStyle w:val="ListParagraph"/>
        <w:numPr>
          <w:ilvl w:val="0"/>
          <w:numId w:val="2"/>
        </w:numPr>
        <w:spacing w:after="70" w:line="264"/>
      </w:pPr>
      <w:r>
        <w:rPr>
          <w:rFonts w:ascii="Calibri" w:cs="Calibri" w:eastAsia="Calibri" w:hAnsi="Calibri"/>
          <w:color w:val="1A1A1A"/>
          <w:sz w:val="21"/>
          <w:szCs w:val="21"/>
        </w:rPr>
        <w:t>Locale conversion covers English→German and English→Swiss German only among the German pairs. Slovene↔German and German→English dates and amounts are left to the model, and Slovene↔German still needs a model chosen.</w:t>
      </w:r>
    </w:p>
    <w:p>
      <w:pPr>
        <w:pStyle w:val="ListParagraph"/>
        <w:numPr>
          <w:ilvl w:val="0"/>
          <w:numId w:val="2"/>
        </w:numPr>
        <w:spacing w:after="70" w:line="264"/>
      </w:pPr>
      <w:r>
        <w:rPr>
          <w:rFonts w:ascii="Calibri" w:cs="Calibri" w:eastAsia="Calibri" w:hAnsi="Calibri"/>
          <w:color w:val="1A1A1A"/>
          <w:sz w:val="21"/>
          <w:szCs w:val="21"/>
        </w:rPr>
        <w:t>Settle Austrian German conventions before de-AT can be drafted (S12); it is refused until then. Confirm the Swiss ß→ss rule against the Swiss Federal Chancellery's own spelling guidance, which could not be reached; the rule rests on secondary sources. No Swiss German draft has yet been reviewed by a translator.</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