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in the project’s reference/ folder, one language a side, paired by path: reference/en/leases/lease-2023.docx beside reference/de/leases/lease-2023.pdf. Each side may be Word, PDF with a text layer, scanned PDF or plain text, whatever the other side is.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Everything kept is listed in work/reference/pairs.tsv, to be read before the first run, because every line there can reach a deliverable word for word. Two kinds are never reused: a sentence the references translate differently (tr-ref --conflicts), and a translation read by OCR, whose misreadings would pass straight into the output — those count for terminology only.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is where the model invents: "Case number" once came back as a complete, fictitious German court reference. tr-lint reports that as a number not in the source, which is why its NUM findings come first.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disagreeing references and OCR-read translations are never reused verbatim. They stay in their project, because memory never crosses matters</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only among the German pairs. Slovene↔German and German→English dates and amounts are left to the model, and Slovene↔German still needs a model chosen.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