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 xml:space="preserve">2026-08-01  ·  Companion to the Operating Manual v1.0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first</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General terminology, usually fine</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 xml:space="preserve">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tr-status runs and reports an empty source directory</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free -h shows 8.0Gi</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gams3:q8</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Translated fixtures appear; tr-lint produces a report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Two tok/s figures recorded from --verbose</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Either a transcription, or a definite failure documented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segment splits at št. čl. odst. d.o.o.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lsblk output interpreted, decision recorded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fixture batch survives a lid close</w:t>
            </w:r>
          </w:p>
        </w:tc>
      </w:tr>
    </w:tbl>
    <w:p>
      <w:pPr>
        <w:spacing w:after="120" w:line="264"/>
      </w:pPr>
      <w:r>
        <w:rPr>
          <w:rFonts w:ascii="Calibri" w:cs="Calibri" w:eastAsia="Calibri" w:hAnsi="Calibri"/>
          <w:color w:val="1A1A1A"/>
          <w:sz w:val="21"/>
          <w:szCs w:val="21"/>
        </w:rPr>
        <w:t xml:space="preserve">Task 5 replaces every throughput estimate in the earlier documents with measurement. Task 6 is the highest-value experiment: if vision input works, the dual-engine OCR cross-check becomes available and the largest risk in the project gets materially smaller.</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 xml:space="preserve">Iterating on the pipeline against a 13 GB model at four tokens per second is slow and unnecessary. A mock server that mimics the Ollama API makes the whole pipeline testable in seconds, and lets you inject deliberate faults to confirm the linter catches them. This is how the kit was verified.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