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1.3  ·  2026-08-02  ·  EN↔SL (DE later)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git@github.com:hmbseaotter/offline-translation-kit.git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 xml:space="preserve">The alias matters. Every script refers to gams3:q8, so switching models later is one tr-model invocation rather than an edit in eight places. It also pins num_ctx and temperature so behavior does not drift with an Ollama upgrade.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 xml:space="preserve">A file is re-translated only if its source is newer than its output.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v5</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ignore memory, retranslate</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gams3:q8</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Model alias used by every script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Use de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v4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Part of the cache key. Bump to force retranslation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Add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 xml:space="preserve">For a 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berlin-2026</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~/translation-work/confidential-projects/berlin-2026/project.conf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 xml:space="preserve">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 xml:space="preserve">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 xml:space="preserve">deu+eng</w:t>
      </w:r>
    </w:p>
    <w:p>
      <w:pPr>
        <w:spacing w:after="120" w:line="264"/>
      </w:pPr>
      <w:r>
        <w:rPr>
          <w:rFonts w:ascii="Calibri" w:cs="Calibri" w:eastAsia="Calibri" w:hAnsi="Calibri"/>
          <w:color w:val="1A1A1A"/>
          <w:sz w:val="21"/>
          <w:szCs w:val="21"/>
        </w:rPr>
        <w:t xml:space="preserve">German is high-resource and well served by base Gemma; GaMS3 continual pre-training on Slovene may have eroded it. Compare against gemma3:12b on a German sample before relying on GaMS3 for that pair.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GaMS3-12B-Instruct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Slovene-specific; outperforms base Gemma 3 12B on EN→SL and rivals GPT-4o on the Slovene arena</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now go to &lt;project&gt;/work/tmp inside the container (trlib.case_tmpdir).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en, de - all six directions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is not needed yet but will be. Every one of the three can be source or target</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Seed the memory from the translator’s prior work if any exists (S4.4).</w:t>
      </w:r>
    </w:p>
    <w:p>
      <w:pPr>
        <w:pStyle w:val="ListParagraph"/>
        <w:numPr>
          <w:ilvl w:val="0"/>
          <w:numId w:val="2"/>
        </w:numPr>
        <w:spacing w:after="70" w:line="264"/>
      </w:pPr>
      <w:r>
        <w:rPr>
          <w:rFonts w:ascii="Calibri" w:cs="Calibri" w:eastAsia="Calibri" w:hAnsi="Calibri"/>
          <w:color w:val="1A1A1A"/>
          <w:sz w:val="21"/>
          <w:szCs w:val="21"/>
        </w:rPr>
        <w:t xml:space="preserve">Verify German quality against base Gemma before extending to that pair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Extend the locale rules to German before that pair is used: it keeps the 24-hour clock and writes 5. Maerz 2024. Six directions are in scope across Slovene, English and German.</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