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 classify every file in source/</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--rescan     # re-examine files already recorded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--no-ocr     #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to English convention - 5. 3. 2024 becomes 5 March 2024, 12.450,00 becomes 12,450.00, and a 24-hour time becomes 2:30 p.m. - because that is what a translation into English is. The value never changes; only its spelling does.</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A second engine is worth adding if scan quality is poor. A vision model reads a page by a completely different mechanism than Tesseract, so their failure modes are largely uncorrelated. Run both, compare only the numbers, dates, and capitalized tokens, and inspect where they disagree.</w:t>
      </w:r>
    </w:p>
    <w:p>
      <w:pPr>
        <w:spacing w:after="120" w:line="264"/>
      </w:pPr>
      <w:r>
        <w:rPr>
          <w:rFonts w:ascii="Calibri" w:cs="Calibri" w:eastAsia="Calibri" w:hAnsi="Calibri"/>
          <w:color w:val="1A1A1A"/>
          <w:sz w:val="21"/>
          <w:szCs w:val="21"/>
        </w:rPr>
        <w:t>Vision input works. The installed Qwen model transcribed a rendered Slovene legal page at 97.3% against the page's own text layer, with every case number, amount, date and diacritic exact. The 2.7% shortfall was the model being right where the comparison was wrong: it read the evidence table as a table, keeping Datum with its date and Znesek with its amount, where pdftotext flattened the headers into one column and the values into another. For a document where a figure must stay bound to its label, that is the difference that matters.</w:t>
      </w:r>
    </w:p>
    <w:p>
      <w:pPr>
        <w:spacing w:after="120" w:line="264"/>
      </w:pPr>
      <w:r>
        <w:rPr>
          <w:rFonts w:ascii="Calibri" w:cs="Calibri" w:eastAsia="Calibri" w:hAnsi="Calibri"/>
          <w:color w:val="1A1A1A"/>
          <w:sz w:val="21"/>
          <w:szCs w:val="21"/>
        </w:rPr>
        <w:t>It costs about 6.7 minutes a page, against seconds for Tesseract. So the cross-check is affordable on the pages that carry the risk - those with case numbers, dates and amounts, or where Tesseract's own confidence is low - and not affordable across a whole corpus. Which pages is the open question; whether it works is not.</w:t>
      </w:r>
    </w:p>
    <w:p>
      <w:pPr>
        <w:spacing w:after="120" w:line="264"/>
      </w:pPr>
      <w:r>
        <w:rPr>
          <w:rFonts w:ascii="Calibri" w:cs="Calibri" w:eastAsia="Calibri" w:hAnsi="Calibri"/>
          <w:color w:val="1A1A1A"/>
          <w:sz w:val="21"/>
          <w:szCs w:val="21"/>
        </w:rPr>
        <w:t>One caveat before relying on it: the page tested was a clean render, not a scan. Skew, speckle, stamps and handwriting are untested.</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tr-inventory               #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Slovene writes 5. 3. 2024 and a decimal comma, English 5 March 2024 and a decimal point.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Listing them beside case numbers made two models read the rule two ways, one leaving Slovene in the output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for now</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The container protects the case material; nothing outside it is protected, which is a live risk rather than a settled one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Trial the container on a throwaway 1 GB image and exercise open, close, and the guard before real data goes near it. Nothing has been encrypted yet: case-init has never run, so confidential-projects/ is an ordinary directory. Every tool refuses to write there, correctly, until it exists.</w:t>
      </w:r>
    </w:p>
    <w:p>
      <w:pPr>
        <w:pStyle w:val="ListParagraph"/>
        <w:numPr>
          <w:ilvl w:val="0"/>
          <w:numId w:val="2"/>
        </w:numPr>
        <w:spacing w:after="70" w:line="264"/>
      </w:pPr>
      <w:r>
        <w:rPr>
          <w:rFonts w:ascii="Calibri" w:cs="Calibri" w:eastAsia="Calibri" w:hAnsi="Calibri"/>
          <w:color w:val="1A1A1A"/>
          <w:sz w:val="21"/>
          <w:szCs w:val="21"/>
        </w:rPr>
        <w:t>Decide what to do about the unencrypted disk. The finding is settled - the root filesystem is plain ext4 (S3.4) - and the decision is not. The container covers the case material; it does not cover a file copied out for review, a temporary file, or the swap.</w:t>
      </w:r>
    </w:p>
    <w:p>
      <w:pPr>
        <w:pStyle w:val="ListParagraph"/>
        <w:numPr>
          <w:ilvl w:val="0"/>
          <w:numId w:val="2"/>
        </w:numPr>
        <w:spacing w:after="70" w:line="264"/>
      </w:pPr>
      <w:r>
        <w:rPr>
          <w:rFonts w:ascii="Calibri" w:cs="Calibri" w:eastAsia="Calibri" w:hAnsi="Calibri"/>
          <w:color w:val="1A1A1A"/>
          <w:sz w:val="21"/>
          <w:szCs w:val="21"/>
        </w:rPr>
        <w:t>Decide whether the vision model earns a place in the OCR stage. It works - 97.3% on a rendered page, every case number, amount, date and diacritic exact, and it read a table correctly where the PDF text layer did not (S5.3). It costs about 6.7 minutes a page, so the question is which pages, not whether.</w:t>
      </w:r>
    </w:p>
    <w:p>
      <w:pPr>
        <w:pStyle w:val="ListParagraph"/>
        <w:numPr>
          <w:ilvl w:val="0"/>
          <w:numId w:val="2"/>
        </w:numPr>
        <w:spacing w:after="70" w:line="264"/>
      </w:pPr>
      <w:r>
        <w:rPr>
          <w:rFonts w:ascii="Calibri" w:cs="Calibri" w:eastAsia="Calibri" w:hAnsi="Calibri"/>
          <w:color w:val="1A1A1A"/>
          <w:sz w:val="21"/>
          <w:szCs w:val="21"/>
        </w:rPr>
        <w:t>Test the vision model on a real scan. The page it read was a clean render; evidence arrives skewed, speckled and stamped, and nothing here shows how it behaves on that.</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Settle the professional questions with the certifying translator. This item gates everything else.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