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4"/>
          <w:szCs w:val="34"/>
        </w:rPr>
        <w:t xml:space="preserve">Handover — Moving Build Work to Claude Code</w:t>
      </w:r>
    </w:p>
    <w:p>
      <w:pPr>
        <w:pBdr>
          <w:bottom w:val="single" w:color="D8CFC2" w:sz="6" w:space="6"/>
        </w:pBdr>
        <w:spacing w:after="260"/>
      </w:pPr>
      <w:r>
        <w:rPr>
          <w:rFonts w:ascii="Calibri" w:cs="Calibri" w:eastAsia="Calibri" w:hAnsi="Calibri"/>
          <w:color w:val="7F7F7F"/>
          <w:sz w:val="18"/>
          <w:szCs w:val="18"/>
        </w:rPr>
        <w:t>2026-08-01  ·  Companion to the Operating Manual v1.2  ·  Read S2 before starting a session</w:t>
      </w:r>
    </w:p>
    <w:p>
      <w:pPr>
        <w:pStyle w:val="Heading1"/>
        <w:spacing w:after="130" w:before="340"/>
      </w:pPr>
      <w:r>
        <w:rPr>
          <w:rFonts w:ascii="Calibri" w:cs="Calibri" w:eastAsia="Calibri" w:hAnsi="Calibri"/>
          <w:b/>
          <w:bCs/>
          <w:color w:val="C15E3C"/>
          <w:sz w:val="29"/>
          <w:szCs w:val="29"/>
        </w:rPr>
        <w:t xml:space="preserve">1. Where things run</w:t>
      </w:r>
    </w:p>
    <w:p>
      <w:pPr>
        <w:spacing w:after="120" w:line="264"/>
      </w:pPr>
      <w:r>
        <w:rPr>
          <w:rFonts w:ascii="Calibri" w:cs="Calibri" w:eastAsia="Calibri" w:hAnsi="Calibri"/>
          <w:color w:val="1A1A1A"/>
          <w:sz w:val="21"/>
          <w:szCs w:val="21"/>
        </w:rPr>
        <w:t xml:space="preserve">Your reading is correct. This chat interface executes in a sandboxed container on Anthropic’s servers with no access to your disk. Everything produced so far was assembled there and handed to you as downloads. Nothing from your machine has been read, and no case material has been transmitted.</w:t>
      </w:r>
    </w:p>
    <w:tbl>
      <w:tblPr>
        <w:tblW w:type="dxa" w:w="9360"/>
        <w:tblBorders>
          <w:top w:val="single" w:color="D8CFC2" w:sz="2"/>
          <w:left w:val="none"/>
          <w:bottom w:val="single" w:color="D8CFC2" w:sz="2"/>
          <w:right w:val="none"/>
          <w:insideH w:val="single" w:color="E5DDD2" w:sz="1"/>
          <w:insideV w:val="none"/>
        </w:tblBorders>
      </w:tblPr>
      <w:tblGrid>
        <w:gridCol w:w="2300"/>
        <w:gridCol w:w="2400"/>
        <w:gridCol w:w="4660"/>
      </w:tblGrid>
      <w:tr>
        <w:trPr>
          <w:tblHeader/>
        </w:trPr>
        <w:tc>
          <w:tcPr>
            <w:tcW w:type="dxa" w:w="23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Tool</w:t>
            </w:r>
          </w:p>
        </w:tc>
        <w:tc>
          <w:tcPr>
            <w:tcW w:type="dxa" w:w="24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Runs where</w:t>
            </w:r>
          </w:p>
        </w:tc>
        <w:tc>
          <w:tcPr>
            <w:tcW w:type="dxa" w:w="46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Suitable for</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Chat (this)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Anthropic container</w:t>
            </w:r>
          </w:p>
        </w:tc>
        <w:tc>
          <w:tcPr>
            <w:tcW w:type="dxa" w:w="46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Design, review, drafting documents. No disk access</w:t>
            </w:r>
          </w:p>
        </w:tc>
      </w:tr>
      <w:tr>
        <w:tc>
          <w:tcPr>
            <w:tcW w:type="dxa" w:w="2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Claude Code</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Your machine; inference remote</w:t>
            </w:r>
          </w:p>
        </w:tc>
        <w:tc>
          <w:tcPr>
            <w:tcW w:type="dxa" w:w="46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Recommended. Installing, testing, debugging scripts — with fixtures only</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Claude Cowork</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Your machine; inference remote</w:t>
            </w:r>
          </w:p>
        </w:tc>
        <w:tc>
          <w:tcPr>
            <w:tcW w:type="dxa" w:w="46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Same data exposure, no advantage for CLI-heavy work</w:t>
            </w:r>
          </w:p>
        </w:tc>
      </w:tr>
      <w:tr>
        <w:tc>
          <w:tcPr>
            <w:tcW w:type="dxa" w:w="2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Local model only</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Fully on premises</w:t>
            </w:r>
          </w:p>
        </w:tc>
        <w:tc>
          <w:tcPr>
            <w:tcW w:type="dxa" w:w="46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Anything touching case material</w:t>
            </w:r>
          </w:p>
        </w:tc>
      </w:tr>
    </w:tbl>
    <w:p>
      <w:pPr>
        <w:spacing w:after="120" w:line="264"/>
      </w:pPr>
      <w:r>
        <w:rPr>
          <w:rFonts w:ascii="Calibri" w:cs="Calibri" w:eastAsia="Calibri" w:hAnsi="Calibri"/>
          <w:color w:val="1A1A1A"/>
          <w:sz w:val="21"/>
          <w:szCs w:val="21"/>
        </w:rPr>
        <w:t xml:space="preserve">Claude Code is the right tool for the remaining build work: it can install packages, run the scripts, read tracebacks, and iterate. But the recommendation comes with one condition that is not optional, and it is the whole of Section 2.</w:t>
      </w:r>
    </w:p>
    <w:p>
      <w:pPr>
        <w:pStyle w:val="Heading1"/>
        <w:spacing w:after="130" w:before="340"/>
      </w:pPr>
      <w:r>
        <w:rPr>
          <w:rFonts w:ascii="Calibri" w:cs="Calibri" w:eastAsia="Calibri" w:hAnsi="Calibri"/>
          <w:b/>
          <w:bCs/>
          <w:color w:val="C15E3C"/>
          <w:sz w:val="29"/>
          <w:szCs w:val="29"/>
        </w:rPr>
        <w:t xml:space="preserve">2. The boundary</w:t>
      </w:r>
    </w:p>
    <w:p>
      <w:pPr>
        <w:pBdr>
          <w:left w:val="single" w:color="8C3B2E" w:sz="20" w:space="10"/>
        </w:pBdr>
        <w:shd w:fill="F7E9E4" w:val="clear"/>
        <w:spacing w:after="170" w:before="150" w:line="264"/>
        <w:ind w:left="172"/>
      </w:pPr>
      <w:r>
        <w:rPr>
          <w:rFonts w:ascii="Calibri" w:cs="Calibri" w:eastAsia="Calibri" w:hAnsi="Calibri"/>
          <w:b/>
          <w:bCs/>
          <w:color w:val="8C3B2E"/>
          <w:sz w:val="21"/>
          <w:szCs w:val="21"/>
        </w:rPr>
        <w:t xml:space="preserve">The constraint.  </w:t>
      </w:r>
      <w:r>
        <w:rPr>
          <w:rFonts w:ascii="Calibri" w:cs="Calibri" w:eastAsia="Calibri" w:hAnsi="Calibri"/>
          <w:color w:val="1A1A1A"/>
          <w:sz w:val="21"/>
          <w:szCs w:val="21"/>
        </w:rPr>
        <w:t xml:space="preserve">Claude Code runs locally but sends context to Anthropic’s servers for inference. Any document content that enters a session leaves your premises. That is precisely what this project exists to prevent.</w:t>
      </w:r>
    </w:p>
    <w:p>
      <w:pPr>
        <w:spacing w:after="120" w:line="264"/>
      </w:pPr>
      <w:r>
        <w:rPr>
          <w:rFonts w:ascii="Calibri" w:cs="Calibri" w:eastAsia="Calibri" w:hAnsi="Calibri"/>
          <w:color w:val="1A1A1A"/>
          <w:sz w:val="21"/>
          <w:szCs w:val="21"/>
        </w:rPr>
        <w:t xml:space="preserve">This is not hypothetical or edge-case. Content enters a session through many ordinary routes: the Read tool, Grep, a `cat` in a bash call, `pdftotext` output, a script that echoes what it is processing, a log file quoted while diagnosing a failure, or an error message pasted in by you that happens to contain a source sentence.</w:t>
      </w:r>
    </w:p>
    <w:p>
      <w:pPr>
        <w:spacing w:after="120" w:line="264"/>
      </w:pPr>
      <w:r>
        <w:rPr>
          <w:rFonts w:ascii="Calibri" w:cs="Calibri" w:eastAsia="Calibri" w:hAnsi="Calibri"/>
          <w:color w:val="1A1A1A"/>
          <w:sz w:val="21"/>
          <w:szCs w:val="21"/>
        </w:rPr>
        <w:t xml:space="preserve">So the line is drawn by directory, and it is drawn generously:</w:t>
      </w:r>
    </w:p>
    <w:tbl>
      <w:tblPr>
        <w:tblW w:type="dxa" w:w="9360"/>
        <w:tblBorders>
          <w:top w:val="single" w:color="D8CFC2" w:sz="2"/>
          <w:left w:val="none"/>
          <w:bottom w:val="single" w:color="D8CFC2" w:sz="2"/>
          <w:right w:val="none"/>
          <w:insideH w:val="single" w:color="E5DDD2" w:sz="1"/>
          <w:insideV w:val="none"/>
        </w:tblBorders>
      </w:tblPr>
      <w:tblGrid>
        <w:gridCol w:w="3900"/>
        <w:gridCol w:w="1500"/>
        <w:gridCol w:w="3960"/>
      </w:tblGrid>
      <w:tr>
        <w:trPr>
          <w:tblHeader/>
        </w:trPr>
        <w:tc>
          <w:tcPr>
            <w:tcW w:type="dxa" w:w="39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Path</w:t>
            </w:r>
          </w:p>
        </w:tc>
        <w:tc>
          <w:tcPr>
            <w:tcW w:type="dxa" w:w="15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Claude Code</w:t>
            </w:r>
          </w:p>
        </w:tc>
        <w:tc>
          <w:tcPr>
            <w:tcW w:type="dxa" w:w="39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w:t>
            </w:r>
          </w:p>
        </w:tc>
      </w:tr>
      <w:tr>
        <w:tc>
          <w:tcPr>
            <w:tcW w:type="dxa" w:w="39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~/Claude_Stuff/cli_projects/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Yes</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All Claude Code project work lives here</w:t>
            </w:r>
          </w:p>
        </w:tc>
      </w:tr>
      <w:tr>
        <w:tc>
          <w:tcPr>
            <w:tcW w:type="dxa" w:w="39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…/translation-tools/</w:t>
            </w:r>
          </w:p>
        </w:tc>
        <w:tc>
          <w:tcPr>
            <w:tcW w:type="dxa" w:w="1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Yes</w:t>
            </w:r>
          </w:p>
        </w:tc>
        <w:tc>
          <w:tcPr>
            <w:tcW w:type="dxa" w:w="3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kit: scripts and config. No case data ever</w:t>
            </w:r>
          </w:p>
        </w:tc>
      </w:tr>
      <w:tr>
        <w:tc>
          <w:tcPr>
            <w:tcW w:type="dxa" w:w="39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…/translation-tools/fixtures/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Yes</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Synthetic, invented content</w:t>
            </w:r>
          </w:p>
        </w:tc>
      </w:tr>
      <w:tr>
        <w:tc>
          <w:tcPr>
            <w:tcW w:type="dxa" w:w="39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~/translation-work/docs/</w:t>
            </w:r>
          </w:p>
        </w:tc>
        <w:tc>
          <w:tcPr>
            <w:tcW w:type="dxa" w:w="1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Yes</w:t>
            </w:r>
          </w:p>
        </w:tc>
        <w:tc>
          <w:tcPr>
            <w:tcW w:type="dxa" w:w="3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These reference documents. No case content</w:t>
            </w:r>
          </w:p>
        </w:tc>
      </w:tr>
      <w:tr>
        <w:tc>
          <w:tcPr>
            <w:tcW w:type="dxa" w:w="39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.../confidential-projects/**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No</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entire container tree — all matters</w:t>
            </w:r>
          </w:p>
        </w:tc>
      </w:tr>
      <w:tr>
        <w:tc>
          <w:tcPr>
            <w:tcW w:type="dxa" w:w="39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.../&lt;project&gt;/source/, translated/</w:t>
            </w:r>
          </w:p>
        </w:tc>
        <w:tc>
          <w:tcPr>
            <w:tcW w:type="dxa" w:w="1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No</w:t>
            </w:r>
          </w:p>
        </w:tc>
        <w:tc>
          <w:tcPr>
            <w:tcW w:type="dxa" w:w="3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Originals and their translations</w:t>
            </w:r>
          </w:p>
        </w:tc>
      </w:tr>
      <w:tr>
        <w:tc>
          <w:tcPr>
            <w:tcW w:type="dxa" w:w="39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.../&lt;project&gt;/work/, logs/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No</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OCR text layers, memory, and logs that quote segments</w:t>
            </w:r>
          </w:p>
        </w:tc>
      </w:tr>
      <w:tr>
        <w:tc>
          <w:tcPr>
            <w:tcW w:type="dxa" w:w="39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.../work/inventory/manifest.tsv, by-lang/</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No</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Lists of file paths; a filename carries party names, dates, case numbers</w:t>
            </w:r>
          </w:p>
        </w:tc>
      </w:tr>
      <w:tr>
        <w:tc>
          <w:tcPr>
            <w:tcW w:type="dxa" w:w="39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.../work/inventory/summary.txt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Counts only</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No paths. This is the file that goes to the client</w:t>
            </w:r>
          </w:p>
        </w:tc>
      </w:tr>
      <w:tr>
        <w:tc>
          <w:tcPr>
            <w:tcW w:type="dxa" w:w="39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.../_shared/glossary/</w:t>
            </w:r>
          </w:p>
        </w:tc>
        <w:tc>
          <w:tcPr>
            <w:tcW w:type="dxa" w:w="1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No</w:t>
            </w:r>
          </w:p>
        </w:tc>
        <w:tc>
          <w:tcPr>
            <w:tcW w:type="dxa" w:w="3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Inside the denied tree. Reaching it needs the container mounted, which the guard already forbids during a session</w:t>
            </w:r>
          </w:p>
        </w:tc>
      </w:tr>
    </w:tbl>
    <w:p>
      <w:pPr>
        <w:pStyle w:val="Heading2"/>
        <w:spacing w:after="130" w:before="250"/>
      </w:pPr>
      <w:r>
        <w:rPr>
          <w:rFonts w:ascii="Calibri" w:cs="Calibri" w:eastAsia="Calibri" w:hAnsi="Calibri"/>
          <w:b/>
          <w:bCs/>
          <w:color w:val="1A1A1A"/>
          <w:sz w:val="24"/>
          <w:szCs w:val="24"/>
        </w:rPr>
        <w:t xml:space="preserve">2.1 Controls, in order of how much to trust them</w:t>
      </w:r>
    </w:p>
    <w:p>
      <w:pPr>
        <w:spacing w:after="120" w:line="264"/>
      </w:pPr>
      <w:r>
        <w:rPr>
          <w:rFonts w:ascii="Calibri" w:cs="Calibri" w:eastAsia="Calibri" w:hAnsi="Calibri"/>
          <w:color w:val="1A1A1A"/>
          <w:sz w:val="21"/>
          <w:szCs w:val="21"/>
        </w:rPr>
        <w:t xml:space="preserve">First, structural separation. Always start a session from the kit directory, never from your home directory:</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claude</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correct</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claude</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WRONG - ~/translation-work in scope</w:t>
      </w:r>
    </w:p>
    <w:p>
      <w:pPr>
        <w:spacing w:after="120" w:line="264"/>
      </w:pPr>
      <w:r>
        <w:rPr>
          <w:rFonts w:ascii="Calibri" w:cs="Calibri" w:eastAsia="Calibri" w:hAnsi="Calibri"/>
          <w:color w:val="1A1A1A"/>
          <w:sz w:val="21"/>
          <w:szCs w:val="21"/>
        </w:rPr>
        <w:t xml:space="preserve">Second, and stronger: keep the case material unmounted while a session is running. The container mounts at ~/translation-work/confidential-projects; open it only for batch runs in a plain terminal and close it before starting Claude Code. A path that is not present cannot be read by any mechanism.</w:t>
      </w:r>
    </w:p>
    <w:p>
      <w:pPr>
        <w:spacing w:after="120" w:line="264"/>
      </w:pPr>
      <w:r>
        <w:rPr>
          <w:rFonts w:ascii="Calibri" w:cs="Calibri" w:eastAsia="Calibri" w:hAnsi="Calibri"/>
          <w:color w:val="1A1A1A"/>
          <w:sz w:val="21"/>
          <w:szCs w:val="21"/>
        </w:rPr>
        <w:t xml:space="preserve">Third, permission rules as a backstop. The kit ships .claude/settings.json with deny rules covering the data paths. Adjust the username in the paths to match your account.</w:t>
      </w:r>
    </w:p>
    <w:p>
      <w:pPr>
        <w:pBdr>
          <w:left w:val="single" w:color="8C3B2E" w:sz="20" w:space="10"/>
        </w:pBdr>
        <w:shd w:fill="F7E9E4" w:val="clear"/>
        <w:spacing w:after="170" w:before="150" w:line="264"/>
        <w:ind w:left="172"/>
      </w:pPr>
      <w:r>
        <w:rPr>
          <w:rFonts w:ascii="Calibri" w:cs="Calibri" w:eastAsia="Calibri" w:hAnsi="Calibri"/>
          <w:b/>
          <w:bCs/>
          <w:color w:val="8C3B2E"/>
          <w:sz w:val="21"/>
          <w:szCs w:val="21"/>
        </w:rPr>
        <w:t xml:space="preserve">Do not rely on the deny rules alone.  </w:t>
      </w:r>
      <w:r>
        <w:rPr>
          <w:rFonts w:ascii="Calibri" w:cs="Calibri" w:eastAsia="Calibri" w:hAnsi="Calibri"/>
          <w:color w:val="1A1A1A"/>
          <w:sz w:val="21"/>
          <w:szCs w:val="21"/>
        </w:rPr>
        <w:t xml:space="preserve">They are a useful second layer, but two caveats apply. Deny rules govern the built-in tools and cat-style commands; they do not reliably cover indirect reads through a script. And there are open reports against Claude Code of deny rules not being enforced in some cases. Treat the configuration as a seatbelt, not as the reason it is safe to proceed. The directory separation is the actual control.</w:t>
      </w:r>
    </w:p>
    <w:p>
      <w:pPr>
        <w:pStyle w:val="Heading2"/>
        <w:spacing w:after="130" w:before="250"/>
      </w:pPr>
      <w:r>
        <w:rPr>
          <w:rFonts w:ascii="Calibri" w:cs="Calibri" w:eastAsia="Calibri" w:hAnsi="Calibri"/>
          <w:b/>
          <w:bCs/>
          <w:color w:val="1A1A1A"/>
          <w:sz w:val="24"/>
          <w:szCs w:val="24"/>
        </w:rPr>
        <w:t xml:space="preserve">2.2 If a task seems to need real data</w:t>
      </w:r>
    </w:p>
    <w:p>
      <w:pPr>
        <w:spacing w:after="120" w:line="264"/>
      </w:pPr>
      <w:r>
        <w:rPr>
          <w:rFonts w:ascii="Calibri" w:cs="Calibri" w:eastAsia="Calibri" w:hAnsi="Calibri"/>
          <w:color w:val="1A1A1A"/>
          <w:sz w:val="21"/>
          <w:szCs w:val="21"/>
        </w:rPr>
        <w:t>It almost never does. The fixture generator produces synthetic Slovene legal documents that exercise every hard case in the pipeline — abbreviations that must not split sentences, case numbers and dates that must pass through untranslated, diacritics, and a 7,000-row table with a realistic repeat structure. It also writes a nested, two-drop, mixed-language tree under fixtures/drop/ — Slovene beside Croatian, English and Armenian, plus a file too short to classify — which is what triage is developed against. Development and debugging should use these exclusively.</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tr-fixtures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fixtures/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exercises the same code paths as the real corpus</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tr-xlsx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fixtures/dokazi-velika.xlsx</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--survey</w:t>
      </w:r>
    </w:p>
    <w:p>
      <w:pPr>
        <w:spacing w:after="120" w:line="264"/>
      </w:pPr>
      <w:r>
        <w:rPr>
          <w:rFonts w:ascii="Calibri" w:cs="Calibri" w:eastAsia="Calibri" w:hAnsi="Calibri"/>
          <w:color w:val="1A1A1A"/>
          <w:sz w:val="21"/>
          <w:szCs w:val="21"/>
        </w:rPr>
        <w:t xml:space="preserve">If a genuine document is needed to reproduce a defect, describe the structure rather than sharing the content: "a paragraph where a case number is followed by an abbreviation and a four-digit year" is enough to build a fixture that reproduces it. If that fails, hand-redact an excerpt yourself before pasting.</w:t>
      </w:r>
    </w:p>
    <w:p>
      <w:r>
        <w:br w:type="page"/>
      </w:r>
    </w:p>
    <w:p>
      <w:pPr>
        <w:pStyle w:val="Heading1"/>
        <w:spacing w:after="130" w:before="340"/>
      </w:pPr>
      <w:r>
        <w:rPr>
          <w:rFonts w:ascii="Calibri" w:cs="Calibri" w:eastAsia="Calibri" w:hAnsi="Calibri"/>
          <w:b/>
          <w:bCs/>
          <w:color w:val="C15E3C"/>
          <w:sz w:val="29"/>
          <w:szCs w:val="29"/>
        </w:rPr>
        <w:t xml:space="preserve">3. Getting started in Claude Code</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export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KIT=~/Claude_Stuff/cli_projects/translation-tools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mkdir</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-p</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git clone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git@github.com:hmbseaotter/offline-translation-kit.git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chmod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+x</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/bin/*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adjust the username in the deny paths to match your account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nano</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/.claude/settings.json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claude</w:t>
      </w:r>
    </w:p>
    <w:p>
      <w:pPr>
        <w:spacing w:after="120" w:line="264"/>
      </w:pPr>
      <w:r>
        <w:rPr>
          <w:rFonts w:ascii="Calibri" w:cs="Calibri" w:eastAsia="Calibri" w:hAnsi="Calibri"/>
          <w:color w:val="1A1A1A"/>
          <w:sz w:val="21"/>
          <w:szCs w:val="21"/>
        </w:rPr>
        <w:t xml:space="preserve">The kit contains a CLAUDE.md that states the boundary and the design invariants. Claude Code reads it at session start, so the constraint is in context before the first instruction. Read it yourself once as well — it is the shortest statement of what must not change and why.</w:t>
      </w:r>
    </w:p>
    <w:p>
      <w:pPr>
        <w:spacing w:after="120" w:line="264"/>
      </w:pPr>
      <w:r>
        <w:rPr>
          <w:rFonts w:ascii="Calibri" w:cs="Calibri" w:eastAsia="Calibri" w:hAnsi="Calibri"/>
          <w:color w:val="1A1A1A"/>
          <w:sz w:val="21"/>
          <w:szCs w:val="21"/>
        </w:rPr>
        <w:t>The kit is already a git repository, so there is nothing to initialise. One setting is not optional after unpacking a fresh copy: the hooks that keep client material out of the repository do not run until it is told where they live, because a global core.hooksPath shadows .git/hooks entirely.</w:t>
      </w:r>
    </w:p>
    <w:p>
      <w:pPr>
        <w:pBdr>
          <w:top w:val="single" w:color="E2D8C8" w:sz="2" w:space="3"/>
          <w:bottom w:val="single" w:color="E2D8C8" w:sz="2" w:space="3"/>
          <w:left w:val="single" w:color="C15E3C" w:sz="12" w:space="8"/>
        </w:pBdr>
        <w:shd w:fill="F7F2E9" w:val="clear"/>
        <w:spacing w:after="160" w:before="40" w:line="240"/>
        <w:ind w:left="259"/>
      </w:pPr>
      <w:r>
        <w:rPr>
          <w:rFonts w:ascii="Consolas" w:cs="Consolas" w:eastAsia="Consolas" w:hAnsi="Consolas"/>
          <w:b/>
          <w:bCs/>
          <w:color w:val="A8432A"/>
          <w:sz w:val="17"/>
          <w:szCs w:val="17"/>
        </w:rPr>
        <w:t>cd</w:t>
      </w:r>
      <w:r>
        <w:rPr>
          <w:rFonts w:ascii="Consolas" w:cs="Consolas" w:eastAsia="Consolas" w:hAnsi="Consolas"/>
          <w:color w:val="35322E"/>
          <w:sz w:val="17"/>
          <w:szCs w:val="17"/>
        </w:rPr>
        <w:t xml:space="preserve"> "$KIT" &amp;&amp; </w:t>
      </w:r>
      <w:r>
        <w:rPr>
          <w:rFonts w:ascii="Consolas" w:cs="Consolas" w:eastAsia="Consolas" w:hAnsi="Consolas"/>
          <w:b/>
          <w:bCs/>
          <w:color w:val="A8432A"/>
          <w:sz w:val="17"/>
          <w:szCs w:val="17"/>
        </w:rPr>
        <w:t>git</w:t>
      </w:r>
      <w:r>
        <w:rPr>
          <w:rFonts w:ascii="Consolas" w:cs="Consolas" w:eastAsia="Consolas" w:hAnsi="Consolas"/>
          <w:color w:val="35322E"/>
          <w:sz w:val="17"/>
          <w:szCs w:val="17"/>
        </w:rPr>
        <w:t xml:space="preserve"> config core.hooksPath .githooks</w:t>
      </w:r>
    </w:p>
    <w:p>
      <w:pPr>
        <w:spacing w:after="120" w:line="264"/>
      </w:pPr>
      <w:r>
        <w:rPr>
          <w:rFonts w:ascii="Calibri" w:cs="Calibri" w:eastAsia="Calibri" w:hAnsi="Calibri"/>
          <w:color w:val="1A1A1A"/>
          <w:sz w:val="21"/>
          <w:szCs w:val="21"/>
        </w:rPr>
        <w:t>tr-setup does this for you whenever the kit is already a repository. Either way, stage selectively — git add &lt;path&gt; — rather than git add -A, so a document copied in to reproduce a defect cannot ride along into a commit.</w:t>
      </w:r>
    </w:p>
    <w:p>
      <w:pPr>
        <w:pStyle w:val="Heading1"/>
        <w:spacing w:after="130" w:before="340"/>
      </w:pPr>
      <w:r>
        <w:rPr>
          <w:rFonts w:ascii="Calibri" w:cs="Calibri" w:eastAsia="Calibri" w:hAnsi="Calibri"/>
          <w:b/>
          <w:bCs/>
          <w:color w:val="C15E3C"/>
          <w:sz w:val="29"/>
          <w:szCs w:val="29"/>
        </w:rPr>
        <w:t xml:space="preserve">4. Tasks for the Claude Code session</w:t>
      </w:r>
    </w:p>
    <w:p>
      <w:pPr>
        <w:spacing w:after="120" w:line="264"/>
      </w:pPr>
      <w:r>
        <w:rPr>
          <w:rFonts w:ascii="Calibri" w:cs="Calibri" w:eastAsia="Calibri" w:hAnsi="Calibri"/>
          <w:color w:val="1A1A1A"/>
          <w:sz w:val="21"/>
          <w:szCs w:val="21"/>
        </w:rPr>
        <w:t xml:space="preserve">In order. Each has an acceptance criterion so completion is unambiguous.</w:t>
      </w:r>
    </w:p>
    <w:tbl>
      <w:tblPr>
        <w:tblW w:type="dxa" w:w="9360"/>
        <w:tblBorders>
          <w:top w:val="single" w:color="D8CFC2" w:sz="2"/>
          <w:left w:val="none"/>
          <w:bottom w:val="single" w:color="D8CFC2" w:sz="2"/>
          <w:right w:val="none"/>
          <w:insideH w:val="single" w:color="E5DDD2" w:sz="1"/>
          <w:insideV w:val="none"/>
        </w:tblBorders>
      </w:tblPr>
      <w:tblGrid>
        <w:gridCol w:w="600"/>
        <w:gridCol w:w="3300"/>
        <w:gridCol w:w="5460"/>
      </w:tblGrid>
      <w:tr>
        <w:trPr>
          <w:tblHeader/>
        </w:trPr>
        <w:tc>
          <w:tcPr>
            <w:tcW w:type="dxa" w:w="6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33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Task</w:t>
            </w:r>
          </w:p>
        </w:tc>
        <w:tc>
          <w:tcPr>
            <w:tcW w:type="dxa" w:w="54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Done when</w:t>
            </w:r>
          </w:p>
        </w:tc>
      </w:tr>
      <w:tr>
        <w:tc>
          <w:tcPr>
            <w:tcW w:type="dxa" w:w="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1</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Run tr-setup; resolve any package or venv failures</w:t>
            </w:r>
          </w:p>
        </w:tc>
        <w:tc>
          <w:tcPr>
            <w:tcW w:type="dxa" w:w="5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Dependencies land in a venv the scripts now re-exec into</w:t>
            </w:r>
          </w:p>
        </w:tc>
      </w:tr>
      <w:tr>
        <w:tc>
          <w:tcPr>
            <w:tcW w:type="dxa" w:w="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2</w:t>
            </w:r>
          </w:p>
        </w:tc>
        <w:tc>
          <w:tcPr>
            <w:tcW w:type="dxa" w:w="3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Enlarge swap to 8 GB</w:t>
            </w:r>
          </w:p>
        </w:tc>
        <w:tc>
          <w:tcPr>
            <w:tcW w:type="dxa" w:w="5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free -h shows 8.0Gi; persists via fstab</w:t>
            </w:r>
          </w:p>
        </w:tc>
      </w:tr>
      <w:tr>
        <w:tc>
          <w:tcPr>
            <w:tcW w:type="dxa" w:w="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3</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Run tr-model; confirm the Hugging Face tag resolves</w:t>
            </w:r>
          </w:p>
        </w:tc>
        <w:tc>
          <w:tcPr>
            <w:tcW w:type="dxa" w:w="5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gams3:q8 registered, 12.5 GB</w:t>
            </w:r>
          </w:p>
        </w:tc>
      </w:tr>
      <w:tr>
        <w:tc>
          <w:tcPr>
            <w:tcW w:type="dxa" w:w="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4</w:t>
            </w:r>
          </w:p>
        </w:tc>
        <w:tc>
          <w:tcPr>
            <w:tcW w:type="dxa" w:w="3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Generate fixtures; run the full pipeline over them</w:t>
            </w:r>
          </w:p>
        </w:tc>
        <w:tc>
          <w:tcPr>
            <w:tcW w:type="dxa" w:w="5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3 documents translated, lint report clean</w:t>
            </w:r>
          </w:p>
        </w:tc>
      </w:tr>
      <w:tr>
        <w:tc>
          <w:tcPr>
            <w:tcW w:type="dxa" w:w="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5</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Measure real generation and prefill rates</w:t>
            </w:r>
          </w:p>
        </w:tc>
        <w:tc>
          <w:tcPr>
            <w:tcW w:type="dxa" w:w="5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Prefill 7.00, generation 2.20, sustained 0.81 tok/s</w:t>
            </w:r>
          </w:p>
        </w:tc>
      </w:tr>
      <w:tr>
        <w:tc>
          <w:tcPr>
            <w:tcW w:type="dxa" w:w="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6</w:t>
            </w:r>
          </w:p>
        </w:tc>
        <w:tc>
          <w:tcPr>
            <w:tcW w:type="dxa" w:w="3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Test whether Qwen vision input works on a page image</w:t>
            </w:r>
          </w:p>
        </w:tc>
        <w:tc>
          <w:tcPr>
            <w:tcW w:type="dxa" w:w="5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Transcribed 97.3%; every case number, amount, date and diacritic exact</w:t>
            </w:r>
          </w:p>
        </w:tc>
      </w:tr>
      <w:tr>
        <w:tc>
          <w:tcPr>
            <w:tcW w:type="dxa" w:w="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7</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Tune the abbreviation list against fixture output</w:t>
            </w:r>
          </w:p>
        </w:tc>
        <w:tc>
          <w:tcPr>
            <w:tcW w:type="dxa" w:w="5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11/11, after fixing spaced forms such as d. o. o.</w:t>
            </w:r>
          </w:p>
        </w:tc>
      </w:tr>
      <w:tr>
        <w:tc>
          <w:tcPr>
            <w:tcW w:type="dxa" w:w="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8</w:t>
            </w:r>
          </w:p>
        </w:tc>
        <w:tc>
          <w:tcPr>
            <w:tcW w:type="dxa" w:w="3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Verify disk encryption; report the finding</w:t>
            </w:r>
          </w:p>
        </w:tc>
        <w:tc>
          <w:tcPr>
            <w:tcW w:type="dxa" w:w="5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ANSWERED, decision outstanding. The root filesystem is plain ext4 - not encrypted</w:t>
            </w:r>
          </w:p>
        </w:tc>
      </w:tr>
      <w:tr>
        <w:tc>
          <w:tcPr>
            <w:tcW w:type="dxa" w:w="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9</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Confirm no cloud-routed Ollama models</w:t>
            </w:r>
          </w:p>
        </w:tc>
        <w:tc>
          <w:tcPr>
            <w:tcW w:type="dxa" w:w="5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No -cloud tags</w:t>
            </w:r>
          </w:p>
        </w:tc>
      </w:tr>
      <w:tr>
        <w:tc>
          <w:tcPr>
            <w:tcW w:type="dxa" w:w="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10</w:t>
            </w:r>
          </w:p>
        </w:tc>
        <w:tc>
          <w:tcPr>
            <w:tcW w:type="dxa" w:w="33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Set up systemd-inhibit and tmux for long runs</w:t>
            </w:r>
          </w:p>
        </w:tc>
        <w:tc>
          <w:tcPr>
            <w:tcW w:type="dxa" w:w="5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DONE. A batch ran through a 3-and-a-half-minute lid close</w:t>
            </w:r>
          </w:p>
        </w:tc>
      </w:tr>
    </w:tbl>
    <w:p>
      <w:pPr>
        <w:spacing w:after="120" w:line="264"/>
      </w:pPr>
      <w:r>
        <w:rPr>
          <w:rFonts w:ascii="Calibri" w:cs="Calibri" w:eastAsia="Calibri" w:hAnsi="Calibri"/>
          <w:color w:val="1A1A1A"/>
          <w:sz w:val="21"/>
          <w:szCs w:val="21"/>
        </w:rPr>
        <w:t>Task 5 replaced every throughput estimate in the earlier documents with measurement, and the numbers were worse than assumed: 0.81 output tokens per second sustained, against the 4 the planning arithmetic used - optimistic by roughly five times. Most of a segment's cost is not generation but re-reading the system prompt, about 28 seconds of every 48, paid whether the segment is a sentence or two words.</w:t>
      </w:r>
    </w:p>
    <w:p>
      <w:pPr>
        <w:spacing w:after="120" w:line="264"/>
      </w:pPr>
      <w:r>
        <w:rPr>
          <w:rFonts w:ascii="Calibri" w:cs="Calibri" w:eastAsia="Calibri" w:hAnsi="Calibri"/>
          <w:color w:val="1A1A1A"/>
          <w:sz w:val="21"/>
          <w:szCs w:val="21"/>
        </w:rPr>
        <w:t>Task 6 succeeded, so the dual-engine OCR cross-check is available rather than hypothetical. The vision model also read a table correctly where the PDF text layer did not, keeping each label with its value instead of flattening headers away from the figures. It costs about 6.7 minutes a page, so it belongs on pages that warrant it rather than on all of them.</w:t>
      </w:r>
    </w:p>
    <w:p>
      <w:pPr>
        <w:spacing w:after="120" w:line="264"/>
      </w:pPr>
      <w:r>
        <w:rPr>
          <w:rFonts w:ascii="Calibri" w:cs="Calibri" w:eastAsia="Calibri" w:hAnsi="Calibri"/>
          <w:color w:val="1A1A1A"/>
          <w:sz w:val="21"/>
          <w:szCs w:val="21"/>
        </w:rPr>
        <w:t>Task 8 has its answer but not its decision: the disk is not encrypted, so the container is the only protection and anything outside it - including the reference documents and any file copied out for review - is in the clear.</w:t>
      </w:r>
    </w:p>
    <w:p>
      <w:pPr>
        <w:spacing w:after="120" w:line="264"/>
      </w:pPr>
      <w:r>
        <w:rPr>
          <w:rFonts w:ascii="Calibri" w:cs="Calibri" w:eastAsia="Calibri" w:hAnsi="Calibri"/>
          <w:color w:val="1A1A1A"/>
          <w:sz w:val="21"/>
          <w:szCs w:val="21"/>
        </w:rPr>
        <w:t>Three findings came out of the work that were not on the list, and each is recorded in the manual: the pipeline must convert dates, amounts and times to English convention rather than reproduce them (S4.3); the model completes famous statutory provisions from memory, which no prompt prevented and no deterministic check can see (S8.1); and a client drop is not one language, so triage runs before translation (S4.1).</w:t>
      </w:r>
    </w:p>
    <w:p>
      <w:pPr>
        <w:pStyle w:val="Heading2"/>
        <w:spacing w:after="130" w:before="250"/>
      </w:pPr>
      <w:r>
        <w:rPr>
          <w:rFonts w:ascii="Calibri" w:cs="Calibri" w:eastAsia="Calibri" w:hAnsi="Calibri"/>
          <w:b/>
          <w:bCs/>
          <w:color w:val="1A1A1A"/>
          <w:sz w:val="24"/>
          <w:szCs w:val="24"/>
        </w:rPr>
        <w:t xml:space="preserve">4.1 Testing without waiting on inference</w:t>
      </w:r>
    </w:p>
    <w:p>
      <w:pPr>
        <w:spacing w:after="120" w:line="264"/>
      </w:pPr>
      <w:r>
        <w:rPr>
          <w:rFonts w:ascii="Calibri" w:cs="Calibri" w:eastAsia="Calibri" w:hAnsi="Calibri"/>
          <w:color w:val="1A1A1A"/>
          <w:sz w:val="21"/>
          <w:szCs w:val="21"/>
        </w:rPr>
        <w:t>Iterating on the pipeline against a 13 GB model at four tokens per second is slow and unnecessary. A mock server that mimics the Ollama API makes the whole pipeline testable in seconds, and lets you inject deliberate faults to confirm the linter catches them. Run the fixture corpus through it after any change to segmentation, the non-translatable patterns or the workers: the whole set completes in seconds and tr-lint reports the injected NUM fault. It does not tell you anything about the model — that is task 5.</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cat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&gt;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/tmp/mock_ollama.py</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&lt;&lt;</w:t>
      </w:r>
      <w:r>
        <w:rPr>
          <w:rFonts w:ascii="Consolas" w:cs="Consolas" w:eastAsia="Consolas" w:hAnsi="Consolas"/>
          <w:color w:val="3F7A44"/>
          <w:sz w:val="17"/>
          <w:szCs w:val="17"/>
        </w:rPr>
        <w:t xml:space="preserve">'EOF'</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import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json,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http.server</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class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H(http.server.BaseHTTPRequestHandler):</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def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log_message(self,*a):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pass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def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do_POST(self):</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n=</w:t>
      </w:r>
      <w:r>
        <w:rPr>
          <w:rFonts w:ascii="Consolas" w:cs="Consolas" w:eastAsia="Consolas" w:hAnsi="Consolas"/>
          <w:color w:val="35322E"/>
          <w:sz w:val="17"/>
          <w:szCs w:val="17"/>
        </w:rPr>
        <w:t xml:space="preserve">int(self.headers["Content-Length"])</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d=</w:t>
      </w:r>
      <w:r>
        <w:rPr>
          <w:rFonts w:ascii="Consolas" w:cs="Consolas" w:eastAsia="Consolas" w:hAnsi="Consolas"/>
          <w:color w:val="35322E"/>
          <w:sz w:val="17"/>
          <w:szCs w:val="17"/>
        </w:rPr>
        <w:t xml:space="preserve">json.loads(self.rfile.read(n));</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p=</w:t>
      </w:r>
      <w:r>
        <w:rPr>
          <w:rFonts w:ascii="Consolas" w:cs="Consolas" w:eastAsia="Consolas" w:hAnsi="Consolas"/>
          <w:color w:val="35322E"/>
          <w:sz w:val="17"/>
          <w:szCs w:val="17"/>
        </w:rPr>
        <w:t xml:space="preserve">d["prompt"]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if</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"211"</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out=p.replace("211","")</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fault: lost number</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else: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out="EN["+p+"]"</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b=</w:t>
      </w:r>
      <w:r>
        <w:rPr>
          <w:rFonts w:ascii="Consolas" w:cs="Consolas" w:eastAsia="Consolas" w:hAnsi="Consolas"/>
          <w:color w:val="35322E"/>
          <w:sz w:val="17"/>
          <w:szCs w:val="17"/>
        </w:rPr>
        <w:t xml:space="preserve">json.dumps({"response":out}).encode()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self.send_response(200)</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self.send_header("Content-Type","application/json")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self.send_header("Content-Length",str(len(b)))</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self.end_headers();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self.wfile.write(b)</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http.server.ThreadingHTTPServer(("127.0.0.1",11499),H).serve_forever()</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EOF</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(setsid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python3</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/tmp/mock_ollama.py</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&gt;</w:t>
      </w:r>
      <w:r>
        <w:rPr>
          <w:rFonts w:ascii="Consolas" w:cs="Consolas" w:eastAsia="Consolas" w:hAnsi="Consolas"/>
          <w:b/>
          <w:bCs/>
          <w:color w:val="A8432A"/>
          <w:sz w:val="17"/>
          <w:szCs w:val="17"/>
        </w:rPr>
        <w:t xml:space="preserve">/tmp/mock.log</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2&gt;&amp;1</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w:t>
      </w:r>
      <w:r>
        <w:rPr>
          <w:rFonts w:ascii="Consolas" w:cs="Consolas" w:eastAsia="Consolas" w:hAnsi="Consolas"/>
          <w:b/>
          <w:bCs/>
          <w:color w:val="A8432A"/>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export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TR_OLLAMA=http://127.0.0.1:11499</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TR_MODEL=mock</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tr-run</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tr-lint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lint should report the injected NUM fault</w:t>
      </w:r>
    </w:p>
    <w:p>
      <w:pPr>
        <w:pStyle w:val="Heading1"/>
        <w:spacing w:after="130" w:before="340"/>
      </w:pPr>
      <w:r>
        <w:rPr>
          <w:rFonts w:ascii="Calibri" w:cs="Calibri" w:eastAsia="Calibri" w:hAnsi="Calibri"/>
          <w:b/>
          <w:bCs/>
          <w:color w:val="C15E3C"/>
          <w:sz w:val="29"/>
          <w:szCs w:val="29"/>
        </w:rPr>
        <w:t xml:space="preserve">5. What must not be done in a session</w:t>
      </w:r>
    </w:p>
    <w:p>
      <w:pPr>
        <w:spacing w:after="120" w:line="264"/>
      </w:pPr>
      <w:r>
        <w:rPr>
          <w:rFonts w:ascii="Calibri" w:cs="Calibri" w:eastAsia="Calibri" w:hAnsi="Calibri"/>
          <w:color w:val="1A1A1A"/>
          <w:sz w:val="21"/>
          <w:szCs w:val="21"/>
        </w:rPr>
        <w:t xml:space="preserve">These are operator-only, in a plain terminal with no assistant attached.</w:t>
      </w:r>
    </w:p>
    <w:tbl>
      <w:tblPr>
        <w:tblW w:type="dxa" w:w="9360"/>
        <w:tblBorders>
          <w:top w:val="single" w:color="D8CFC2" w:sz="2"/>
          <w:left w:val="none"/>
          <w:bottom w:val="single" w:color="D8CFC2" w:sz="2"/>
          <w:right w:val="none"/>
          <w:insideH w:val="single" w:color="E5DDD2" w:sz="1"/>
          <w:insideV w:val="none"/>
        </w:tblBorders>
      </w:tblPr>
      <w:tblGrid>
        <w:gridCol w:w="3600"/>
        <w:gridCol w:w="5760"/>
      </w:tblGrid>
      <w:tr>
        <w:trPr>
          <w:tblHeader/>
        </w:trPr>
        <w:tc>
          <w:tcPr>
            <w:tcW w:type="dxa" w:w="36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Activity</w:t>
            </w:r>
          </w:p>
        </w:tc>
        <w:tc>
          <w:tcPr>
            <w:tcW w:type="dxa" w:w="57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 it stays outside</w:t>
            </w:r>
          </w:p>
        </w:tc>
      </w:tr>
      <w:tr>
        <w:tc>
          <w:tcPr>
            <w:tcW w:type="dxa" w:w="3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Batch runs over the real corpus</w:t>
            </w:r>
          </w:p>
        </w:tc>
        <w:tc>
          <w:tcPr>
            <w:tcW w:type="dxa" w:w="57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Progress output and errors quote source text</w:t>
            </w:r>
          </w:p>
        </w:tc>
      </w:tr>
      <w:tr>
        <w:tc>
          <w:tcPr>
            <w:tcW w:type="dxa" w:w="3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Running tr-inventory over a real drop</w:t>
            </w:r>
          </w:p>
        </w:tc>
        <w:tc>
          <w:tcPr>
            <w:tcW w:type="dxa" w:w="57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It opens every client file to detect its language</w:t>
            </w:r>
          </w:p>
        </w:tc>
      </w:tr>
      <w:tr>
        <w:tc>
          <w:tcPr>
            <w:tcW w:type="dxa" w:w="3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Opening the container (case-open)</w:t>
            </w:r>
          </w:p>
        </w:tc>
        <w:tc>
          <w:tcPr>
            <w:tcW w:type="dxa" w:w="57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Denied by rule; open it only in a plain terminal</w:t>
            </w:r>
          </w:p>
        </w:tc>
      </w:tr>
      <w:tr>
        <w:tc>
          <w:tcPr>
            <w:tcW w:type="dxa" w:w="3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OCR verification against page images</w:t>
            </w:r>
          </w:p>
        </w:tc>
        <w:tc>
          <w:tcPr>
            <w:tcW w:type="dxa" w:w="57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Requires reading the documents. Human work regardless</w:t>
            </w:r>
          </w:p>
        </w:tc>
      </w:tr>
      <w:tr>
        <w:tc>
          <w:tcPr>
            <w:tcW w:type="dxa" w:w="3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Glossary extraction from real documents</w:t>
            </w:r>
          </w:p>
        </w:tc>
        <w:tc>
          <w:tcPr>
            <w:tcW w:type="dxa" w:w="57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Use the local Qwen model for the candidate list, not Claude</w:t>
            </w:r>
          </w:p>
        </w:tc>
      </w:tr>
      <w:tr>
        <w:tc>
          <w:tcPr>
            <w:tcW w:type="dxa" w:w="3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Reading logs from a real run</w:t>
            </w:r>
          </w:p>
        </w:tc>
        <w:tc>
          <w:tcPr>
            <w:tcW w:type="dxa" w:w="57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Logs may contain segments</w:t>
            </w:r>
          </w:p>
        </w:tc>
      </w:tr>
      <w:tr>
        <w:tc>
          <w:tcPr>
            <w:tcW w:type="dxa" w:w="36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Diagnosing a failure on a real file</w:t>
            </w:r>
          </w:p>
        </w:tc>
        <w:tc>
          <w:tcPr>
            <w:tcW w:type="dxa" w:w="57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Reproduce with a fixture instead</w:t>
            </w:r>
          </w:p>
        </w:tc>
      </w:tr>
    </w:tbl>
    <w:p>
      <w:pPr>
        <w:spacing w:after="120" w:line="264"/>
      </w:pPr>
      <w:r>
        <w:rPr>
          <w:rFonts w:ascii="Calibri" w:cs="Calibri" w:eastAsia="Calibri" w:hAnsi="Calibri"/>
          <w:color w:val="1A1A1A"/>
          <w:sz w:val="21"/>
          <w:szCs w:val="21"/>
        </w:rPr>
        <w:t xml:space="preserve">Glossary extraction deserves a note. Drafting candidate terms from the corpus is a good use of a language model, and the already-installed Qwen model is fast, capable, and entirely local. Run it directly through Ollama rather than through any assistant.</w:t>
      </w:r>
    </w:p>
    <w:p>
      <w:pPr>
        <w:pBdr>
          <w:top w:val="single" w:color="E2D8C8" w:sz="2" w:space="3"/>
          <w:left w:val="single" w:color="C15E3C" w:sz="12" w:space="8"/>
        </w:pBdr>
        <w:shd w:fill="F7F2E9" w:val="clear"/>
        <w:spacing w:after="0" w:before="40" w:line="240"/>
        <w:ind w:left="259"/>
      </w:pPr>
      <w:r>
        <w:rPr>
          <w:rFonts w:ascii="Consolas" w:cs="Consolas" w:eastAsia="Consolas" w:hAnsi="Consolas"/>
          <w:i/>
          <w:iCs/>
          <w:color w:val="8C8578"/>
          <w:sz w:val="17"/>
          <w:szCs w:val="17"/>
        </w:rPr>
        <w:t xml:space="preserve"># operator-only terminal, no assistant attached</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cat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work/ocr/*.txt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ollama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run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qwen3.6</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"List recurring legal terms, institution names, and</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procedural</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phrases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this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text.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Output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one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per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line,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no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commentary."</w:t>
      </w:r>
    </w:p>
    <w:p>
      <w:pPr>
        <w:pStyle w:val="Heading1"/>
        <w:spacing w:after="130" w:before="340"/>
      </w:pPr>
      <w:r>
        <w:rPr>
          <w:rFonts w:ascii="Calibri" w:cs="Calibri" w:eastAsia="Calibri" w:hAnsi="Calibri"/>
          <w:b/>
          <w:bCs/>
          <w:color w:val="C15E3C"/>
          <w:sz w:val="29"/>
          <w:szCs w:val="29"/>
        </w:rPr>
        <w:t xml:space="preserve">6. What to bring back to this chat</w:t>
      </w:r>
    </w:p>
    <w:p>
      <w:pPr>
        <w:spacing w:after="120" w:line="264"/>
      </w:pPr>
      <w:r>
        <w:rPr>
          <w:rFonts w:ascii="Calibri" w:cs="Calibri" w:eastAsia="Calibri" w:hAnsi="Calibri"/>
          <w:color w:val="1A1A1A"/>
          <w:sz w:val="21"/>
          <w:szCs w:val="21"/>
        </w:rPr>
        <w:t xml:space="preserve">Chat remains useful for design and for documents. Bring back anything that is not case content:</w:t>
      </w:r>
    </w:p>
    <w:p>
      <w:pPr>
        <w:pStyle w:val="ListParagraph"/>
        <w:numPr>
          <w:ilvl w:val="0"/>
          <w:numId w:val="2"/>
        </w:numPr>
        <w:spacing w:after="70" w:line="264"/>
      </w:pPr>
      <w:r>
        <w:rPr>
          <w:rFonts w:ascii="Calibri" w:cs="Calibri" w:eastAsia="Calibri" w:hAnsi="Calibri"/>
          <w:color w:val="1A1A1A"/>
          <w:sz w:val="21"/>
          <w:szCs w:val="21"/>
        </w:rPr>
        <w:t xml:space="preserve">Measured tokens-per-second figures, so the planning arithmetic can be replaced with real numbers.</w:t>
      </w:r>
    </w:p>
    <w:p>
      <w:pPr>
        <w:pStyle w:val="ListParagraph"/>
        <w:numPr>
          <w:ilvl w:val="0"/>
          <w:numId w:val="2"/>
        </w:numPr>
        <w:spacing w:after="70" w:line="264"/>
      </w:pPr>
      <w:r>
        <w:rPr>
          <w:rFonts w:ascii="Calibri" w:cs="Calibri" w:eastAsia="Calibri" w:hAnsi="Calibri"/>
          <w:color w:val="1A1A1A"/>
          <w:sz w:val="21"/>
          <w:szCs w:val="21"/>
        </w:rPr>
        <w:t xml:space="preserve">The result of the Qwen vision test, which determines whether the dual-engine OCR design is available.</w:t>
      </w:r>
    </w:p>
    <w:p>
      <w:pPr>
        <w:pStyle w:val="ListParagraph"/>
        <w:numPr>
          <w:ilvl w:val="0"/>
          <w:numId w:val="2"/>
        </w:numPr>
        <w:spacing w:after="70" w:line="264"/>
      </w:pPr>
      <w:r>
        <w:rPr>
          <w:rFonts w:ascii="Calibri" w:cs="Calibri" w:eastAsia="Calibri" w:hAnsi="Calibri"/>
          <w:color w:val="1A1A1A"/>
          <w:sz w:val="21"/>
          <w:szCs w:val="21"/>
        </w:rPr>
        <w:t xml:space="preserve">The unique-string ratio from the real spreadsheet survey — the ratio and counts, not the strings.</w:t>
      </w:r>
    </w:p>
    <w:p>
      <w:pPr>
        <w:pStyle w:val="ListParagraph"/>
        <w:numPr>
          <w:ilvl w:val="0"/>
          <w:numId w:val="2"/>
        </w:numPr>
        <w:spacing w:after="70" w:line="264"/>
      </w:pPr>
      <w:r>
        <w:rPr>
          <w:rFonts w:ascii="Calibri" w:cs="Calibri" w:eastAsia="Calibri" w:hAnsi="Calibri"/>
          <w:color w:val="1A1A1A"/>
          <w:sz w:val="21"/>
          <w:szCs w:val="21"/>
        </w:rPr>
        <w:t xml:space="preserve">The Phase 1 timing ratio and which error classes cost the translator time. This is the decision.</w:t>
      </w:r>
    </w:p>
    <w:p>
      <w:pPr>
        <w:pStyle w:val="ListParagraph"/>
        <w:numPr>
          <w:ilvl w:val="0"/>
          <w:numId w:val="2"/>
        </w:numPr>
        <w:spacing w:after="70" w:line="264"/>
      </w:pPr>
      <w:r>
        <w:rPr>
          <w:rFonts w:ascii="Calibri" w:cs="Calibri" w:eastAsia="Calibri" w:hAnsi="Calibri"/>
          <w:color w:val="1A1A1A"/>
          <w:sz w:val="21"/>
          <w:szCs w:val="21"/>
        </w:rPr>
        <w:t xml:space="preserve">Any design question where the trade-off is not obvious.</w:t>
      </w:r>
    </w:p>
    <w:p>
      <w:pPr>
        <w:spacing w:after="120" w:line="264"/>
      </w:pPr>
      <w:r>
        <w:rPr>
          <w:rFonts w:ascii="Calibri" w:cs="Calibri" w:eastAsia="Calibri" w:hAnsi="Calibri"/>
          <w:color w:val="1A1A1A"/>
          <w:sz w:val="21"/>
          <w:szCs w:val="21"/>
        </w:rPr>
        <w:t xml:space="preserve">Do not paste source sentences, OCR output, translated text, glossary contents, or run logs. Counts, ratios, timings, and error class names carry everything needed to make decisions here.</w:t>
      </w:r>
    </w:p>
    <w:p>
      <w:pPr>
        <w:pStyle w:val="Heading1"/>
        <w:spacing w:after="130" w:before="340"/>
      </w:pPr>
      <w:r>
        <w:rPr>
          <w:rFonts w:ascii="Calibri" w:cs="Calibri" w:eastAsia="Calibri" w:hAnsi="Calibri"/>
          <w:b/>
          <w:bCs/>
          <w:color w:val="C15E3C"/>
          <w:sz w:val="29"/>
          <w:szCs w:val="29"/>
        </w:rPr>
        <w:t xml:space="preserve">7. Adjustments to the Operating Manual</w:t>
      </w:r>
    </w:p>
    <w:p>
      <w:pPr>
        <w:spacing w:after="120" w:line="264"/>
      </w:pPr>
      <w:r>
        <w:rPr>
          <w:rFonts w:ascii="Calibri" w:cs="Calibri" w:eastAsia="Calibri" w:hAnsi="Calibri"/>
          <w:color w:val="1A1A1A"/>
          <w:sz w:val="21"/>
          <w:szCs w:val="21"/>
        </w:rPr>
        <w:t xml:space="preserve">The manual stands as written. Three amendments follow from this handover.</w:t>
      </w:r>
    </w:p>
    <w:tbl>
      <w:tblPr>
        <w:tblW w:type="dxa" w:w="9360"/>
        <w:tblBorders>
          <w:top w:val="single" w:color="D8CFC2" w:sz="2"/>
          <w:left w:val="none"/>
          <w:bottom w:val="single" w:color="D8CFC2" w:sz="2"/>
          <w:right w:val="none"/>
          <w:insideH w:val="single" w:color="E5DDD2" w:sz="1"/>
          <w:insideV w:val="none"/>
        </w:tblBorders>
      </w:tblPr>
      <w:tblGrid>
        <w:gridCol w:w="1500"/>
        <w:gridCol w:w="7860"/>
      </w:tblGrid>
      <w:tr>
        <w:trPr>
          <w:tblHeader/>
        </w:trPr>
        <w:tc>
          <w:tcPr>
            <w:tcW w:type="dxa" w:w="15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Section</w:t>
            </w:r>
          </w:p>
        </w:tc>
        <w:tc>
          <w:tcPr>
            <w:tcW w:type="dxa" w:w="78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Amendment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S2</w:t>
            </w:r>
          </w:p>
        </w:tc>
        <w:tc>
          <w:tcPr>
            <w:tcW w:type="dxa" w:w="78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kit lives under ~/Claude_Stuff/cli_projects/, a separate branch from ~/translation-work/. That disjointness is a confidentiality control, not tidiness</w:t>
            </w:r>
          </w:p>
        </w:tc>
      </w:tr>
      <w:tr>
        <w:tc>
          <w:tcPr>
            <w:tcW w:type="dxa" w:w="1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S3.1</w:t>
            </w:r>
          </w:p>
        </w:tc>
        <w:tc>
          <w:tcPr>
            <w:tcW w:type="dxa" w:w="78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Adjust the username in .claude/settings.json deny paths after unpacking</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S6</w:t>
            </w:r>
          </w:p>
        </w:tc>
        <w:tc>
          <w:tcPr>
            <w:tcW w:type="dxa" w:w="78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Phase 1 timing runs in a plain terminal. The drafts and the translator’s edits are case material</w:t>
            </w:r>
          </w:p>
        </w:tc>
      </w:tr>
    </w:tbl>
    <w:p>
      <w:pPr>
        <w:spacing w:after="120" w:line="264"/>
      </w:pPr>
      <w:r>
        <w:rPr>
          <w:rFonts w:ascii="Calibri" w:cs="Calibri" w:eastAsia="Calibri" w:hAnsi="Calibri"/>
          <w:color w:val="1A1A1A"/>
          <w:sz w:val="21"/>
          <w:szCs w:val="21"/>
        </w:rPr>
        <w:t xml:space="preserve">One addition to the open items: confirm the container is in place before the first real batch. That single choice makes the boundary in Section 2 structural rather than procedural, and procedural controls are the ones that fail quietly at eleven at night in week three.</w:t>
      </w:r>
    </w:p>
    <w:sectPr>
      <w:footerReference w:type="default" r:id="rId7"/>
      <w:pgSz w:w="12240" w:h="15840" w:orient="portrait"/>
      <w:pgMar w:top="1120" w:right="1400" w:bottom="106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Handover — Moving Build Work to Claude Code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 Moving Build Work to Claude Code</dc:title>
  <dc:creator>Handover</dc:creator>
  <cp:lastModifiedBy>Un-named</cp:lastModifiedBy>
  <cp:revision>1</cp:revision>
  <dcterms:created xsi:type="dcterms:W3CDTF">2026-08-02T01:01:32.949Z</dcterms:created>
  <dcterms:modified xsi:type="dcterms:W3CDTF">2026-08-02T01:01:32.949Z</dcterms:modified>
</cp:coreProperties>
</file>

<file path=docProps/custom.xml><?xml version="1.0" encoding="utf-8"?>
<Properties xmlns="http://schemas.openxmlformats.org/officeDocument/2006/custom-properties" xmlns:vt="http://schemas.openxmlformats.org/officeDocument/2006/docPropsVTypes"/>
</file>