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AE2" w:rsidRDefault="00292AE2" w:rsidP="00292AE2">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HISTORY 352</w:t>
      </w:r>
    </w:p>
    <w:p w:rsidR="00292AE2" w:rsidRDefault="00292AE2" w:rsidP="00292AE2">
      <w:pPr>
        <w:jc w:val="center"/>
        <w:rPr>
          <w:sz w:val="24"/>
          <w:szCs w:val="24"/>
        </w:rPr>
      </w:pPr>
      <w:r>
        <w:rPr>
          <w:sz w:val="24"/>
          <w:szCs w:val="24"/>
        </w:rPr>
        <w:t>The United States in the Middle Period</w:t>
      </w:r>
    </w:p>
    <w:p w:rsidR="00292AE2" w:rsidRDefault="00292AE2" w:rsidP="00292AE2">
      <w:pPr>
        <w:rPr>
          <w:sz w:val="24"/>
          <w:szCs w:val="24"/>
        </w:rPr>
      </w:pPr>
    </w:p>
    <w:p w:rsidR="00292AE2" w:rsidRDefault="00292AE2" w:rsidP="00292AE2">
      <w:pPr>
        <w:tabs>
          <w:tab w:val="left" w:pos="720"/>
          <w:tab w:val="left" w:pos="1440"/>
          <w:tab w:val="left" w:pos="2160"/>
          <w:tab w:val="left" w:pos="2880"/>
          <w:tab w:val="left" w:pos="3600"/>
          <w:tab w:val="left" w:pos="4320"/>
          <w:tab w:val="left" w:pos="5040"/>
          <w:tab w:val="left" w:pos="5760"/>
          <w:tab w:val="left" w:pos="6480"/>
        </w:tabs>
        <w:ind w:left="6480" w:hanging="6480"/>
        <w:rPr>
          <w:sz w:val="24"/>
          <w:szCs w:val="24"/>
        </w:rPr>
      </w:pPr>
      <w:r>
        <w:rPr>
          <w:sz w:val="24"/>
          <w:szCs w:val="24"/>
        </w:rPr>
        <w:t>Term 5</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05C44">
        <w:rPr>
          <w:sz w:val="24"/>
          <w:szCs w:val="24"/>
        </w:rPr>
        <w:tab/>
      </w:r>
      <w:r>
        <w:rPr>
          <w:sz w:val="24"/>
          <w:szCs w:val="24"/>
        </w:rPr>
        <w:t>Mr. Lucas</w:t>
      </w:r>
    </w:p>
    <w:p w:rsidR="00292AE2" w:rsidRDefault="00292AE2" w:rsidP="00292AE2">
      <w:pPr>
        <w:tabs>
          <w:tab w:val="left" w:pos="720"/>
          <w:tab w:val="left" w:pos="1440"/>
          <w:tab w:val="left" w:pos="2160"/>
          <w:tab w:val="left" w:pos="2880"/>
          <w:tab w:val="left" w:pos="3600"/>
          <w:tab w:val="left" w:pos="4320"/>
          <w:tab w:val="left" w:pos="5040"/>
          <w:tab w:val="left" w:pos="5760"/>
          <w:tab w:val="left" w:pos="6480"/>
        </w:tabs>
        <w:ind w:left="6480" w:hanging="6480"/>
        <w:rPr>
          <w:sz w:val="24"/>
          <w:szCs w:val="24"/>
        </w:rPr>
      </w:pPr>
      <w:r>
        <w:rPr>
          <w:sz w:val="24"/>
          <w:szCs w:val="24"/>
        </w:rPr>
        <w:t>Jan.-Feb. 2019</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05C44">
        <w:rPr>
          <w:sz w:val="24"/>
          <w:szCs w:val="24"/>
        </w:rPr>
        <w:tab/>
      </w:r>
      <w:r>
        <w:rPr>
          <w:sz w:val="24"/>
          <w:szCs w:val="24"/>
        </w:rPr>
        <w:t>Office: College 205</w:t>
      </w:r>
    </w:p>
    <w:p w:rsidR="00292AE2" w:rsidRDefault="00292AE2" w:rsidP="00292AE2">
      <w:pPr>
        <w:tabs>
          <w:tab w:val="left" w:pos="720"/>
          <w:tab w:val="left" w:pos="1440"/>
          <w:tab w:val="left" w:pos="2160"/>
          <w:tab w:val="left" w:pos="2880"/>
          <w:tab w:val="left" w:pos="3600"/>
          <w:tab w:val="left" w:pos="4320"/>
          <w:tab w:val="left" w:pos="5040"/>
          <w:tab w:val="left" w:pos="5760"/>
          <w:tab w:val="left" w:pos="6480"/>
        </w:tabs>
        <w:ind w:left="6480" w:hanging="6480"/>
        <w:rPr>
          <w:sz w:val="24"/>
          <w:szCs w:val="24"/>
        </w:rPr>
      </w:pPr>
      <w:r>
        <w:rPr>
          <w:sz w:val="24"/>
          <w:szCs w:val="24"/>
        </w:rPr>
        <w:t>M-F 9:00-11:4</w:t>
      </w:r>
      <w:r>
        <w:rPr>
          <w:sz w:val="24"/>
          <w:szCs w:val="24"/>
        </w:rPr>
        <w:t>5</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05C44">
        <w:rPr>
          <w:sz w:val="24"/>
          <w:szCs w:val="24"/>
        </w:rPr>
        <w:tab/>
      </w:r>
      <w:bookmarkStart w:id="0" w:name="_GoBack"/>
      <w:bookmarkEnd w:id="0"/>
      <w:r>
        <w:rPr>
          <w:sz w:val="24"/>
          <w:szCs w:val="24"/>
        </w:rPr>
        <w:fldChar w:fldCharType="begin"/>
      </w:r>
      <w:r>
        <w:rPr>
          <w:sz w:val="24"/>
          <w:szCs w:val="24"/>
        </w:rPr>
        <w:instrText xml:space="preserve">   HYPERLINK "mailto:plucas@cornellcollege.edu" </w:instrText>
      </w:r>
      <w:r>
        <w:rPr>
          <w:sz w:val="24"/>
          <w:szCs w:val="24"/>
        </w:rPr>
      </w:r>
      <w:r>
        <w:rPr>
          <w:sz w:val="24"/>
          <w:szCs w:val="24"/>
        </w:rPr>
        <w:fldChar w:fldCharType="separate"/>
      </w:r>
      <w:r>
        <w:rPr>
          <w:color w:val="0000FF"/>
          <w:sz w:val="24"/>
          <w:szCs w:val="24"/>
          <w:u w:val="single"/>
        </w:rPr>
        <w:t>plucas@cornellcollege.edu</w:t>
      </w:r>
      <w:r>
        <w:rPr>
          <w:sz w:val="24"/>
          <w:szCs w:val="24"/>
        </w:rPr>
        <w:fldChar w:fldCharType="end"/>
      </w:r>
    </w:p>
    <w:p w:rsidR="00292AE2" w:rsidRDefault="00292AE2" w:rsidP="00292AE2">
      <w:pPr>
        <w:rPr>
          <w:sz w:val="24"/>
          <w:szCs w:val="24"/>
        </w:rPr>
      </w:pPr>
    </w:p>
    <w:p w:rsidR="00292AE2" w:rsidRDefault="00292AE2" w:rsidP="00292AE2">
      <w:pPr>
        <w:jc w:val="center"/>
        <w:rPr>
          <w:sz w:val="24"/>
          <w:szCs w:val="24"/>
        </w:rPr>
      </w:pPr>
      <w:r>
        <w:rPr>
          <w:sz w:val="24"/>
          <w:szCs w:val="24"/>
          <w:u w:val="single"/>
        </w:rPr>
        <w:t>Course Syllabus</w:t>
      </w:r>
    </w:p>
    <w:p w:rsidR="00292AE2" w:rsidRDefault="00292AE2" w:rsidP="00292AE2">
      <w:pPr>
        <w:rPr>
          <w:sz w:val="24"/>
          <w:szCs w:val="24"/>
        </w:rPr>
      </w:pPr>
    </w:p>
    <w:p w:rsidR="00292AE2" w:rsidRDefault="00292AE2" w:rsidP="00292AE2">
      <w:pPr>
        <w:rPr>
          <w:sz w:val="24"/>
          <w:szCs w:val="24"/>
        </w:rPr>
      </w:pPr>
      <w:r>
        <w:rPr>
          <w:sz w:val="24"/>
          <w:szCs w:val="24"/>
          <w:u w:val="single"/>
        </w:rPr>
        <w:t>Reading</w:t>
      </w:r>
      <w:r>
        <w:rPr>
          <w:sz w:val="24"/>
          <w:szCs w:val="24"/>
        </w:rPr>
        <w:t>: The following books are available for purchase.</w:t>
      </w:r>
    </w:p>
    <w:p w:rsidR="00292AE2" w:rsidRDefault="00292AE2" w:rsidP="00292AE2">
      <w:pPr>
        <w:rPr>
          <w:sz w:val="24"/>
          <w:szCs w:val="24"/>
        </w:rPr>
      </w:pPr>
      <w:r>
        <w:rPr>
          <w:sz w:val="24"/>
          <w:szCs w:val="24"/>
        </w:rPr>
        <w:tab/>
        <w:t xml:space="preserve">Sean </w:t>
      </w:r>
      <w:proofErr w:type="spellStart"/>
      <w:r>
        <w:rPr>
          <w:sz w:val="24"/>
          <w:szCs w:val="24"/>
        </w:rPr>
        <w:t>Wilentz</w:t>
      </w:r>
      <w:proofErr w:type="spellEnd"/>
      <w:r>
        <w:rPr>
          <w:sz w:val="24"/>
          <w:szCs w:val="24"/>
        </w:rPr>
        <w:t xml:space="preserve">, </w:t>
      </w:r>
      <w:r>
        <w:rPr>
          <w:sz w:val="24"/>
          <w:szCs w:val="24"/>
          <w:u w:val="single"/>
        </w:rPr>
        <w:t>Andrew Jackson</w:t>
      </w:r>
    </w:p>
    <w:p w:rsidR="00292AE2" w:rsidRDefault="00292AE2" w:rsidP="00292AE2">
      <w:pPr>
        <w:rPr>
          <w:sz w:val="24"/>
          <w:szCs w:val="24"/>
        </w:rPr>
      </w:pPr>
      <w:r>
        <w:rPr>
          <w:sz w:val="24"/>
          <w:szCs w:val="24"/>
        </w:rPr>
        <w:tab/>
        <w:t xml:space="preserve">John Mack </w:t>
      </w:r>
      <w:proofErr w:type="spellStart"/>
      <w:r>
        <w:rPr>
          <w:sz w:val="24"/>
          <w:szCs w:val="24"/>
        </w:rPr>
        <w:t>Faragher</w:t>
      </w:r>
      <w:proofErr w:type="spellEnd"/>
      <w:r>
        <w:rPr>
          <w:sz w:val="24"/>
          <w:szCs w:val="24"/>
        </w:rPr>
        <w:t xml:space="preserve">, </w:t>
      </w:r>
      <w:r>
        <w:rPr>
          <w:sz w:val="24"/>
          <w:szCs w:val="24"/>
          <w:u w:val="single"/>
        </w:rPr>
        <w:t>Sugar Creek</w:t>
      </w:r>
    </w:p>
    <w:p w:rsidR="00292AE2" w:rsidRDefault="00292AE2" w:rsidP="00292AE2">
      <w:pPr>
        <w:rPr>
          <w:sz w:val="24"/>
          <w:szCs w:val="24"/>
        </w:rPr>
      </w:pPr>
      <w:r>
        <w:rPr>
          <w:sz w:val="24"/>
          <w:szCs w:val="24"/>
        </w:rPr>
        <w:tab/>
        <w:t xml:space="preserve">Andrew Burstein, </w:t>
      </w:r>
      <w:r>
        <w:rPr>
          <w:sz w:val="24"/>
          <w:szCs w:val="24"/>
          <w:u w:val="single"/>
        </w:rPr>
        <w:t>America’s Jubilee</w:t>
      </w:r>
    </w:p>
    <w:p w:rsidR="00292AE2" w:rsidRDefault="00292AE2" w:rsidP="00292AE2">
      <w:pPr>
        <w:rPr>
          <w:sz w:val="24"/>
          <w:szCs w:val="24"/>
        </w:rPr>
      </w:pPr>
      <w:r>
        <w:rPr>
          <w:sz w:val="24"/>
          <w:szCs w:val="24"/>
        </w:rPr>
        <w:tab/>
        <w:t xml:space="preserve">R. Kent </w:t>
      </w:r>
      <w:proofErr w:type="spellStart"/>
      <w:r>
        <w:rPr>
          <w:sz w:val="24"/>
          <w:szCs w:val="24"/>
        </w:rPr>
        <w:t>Newmyer</w:t>
      </w:r>
      <w:proofErr w:type="spellEnd"/>
      <w:r>
        <w:rPr>
          <w:sz w:val="24"/>
          <w:szCs w:val="24"/>
        </w:rPr>
        <w:t xml:space="preserve">, </w:t>
      </w:r>
      <w:proofErr w:type="gramStart"/>
      <w:r>
        <w:rPr>
          <w:sz w:val="24"/>
          <w:szCs w:val="24"/>
          <w:u w:val="single"/>
        </w:rPr>
        <w:t>The</w:t>
      </w:r>
      <w:proofErr w:type="gramEnd"/>
      <w:r>
        <w:rPr>
          <w:sz w:val="24"/>
          <w:szCs w:val="24"/>
          <w:u w:val="single"/>
        </w:rPr>
        <w:t xml:space="preserve"> Supreme Court under Marshall and Taney</w:t>
      </w:r>
    </w:p>
    <w:p w:rsidR="00292AE2" w:rsidRDefault="00292AE2" w:rsidP="00292AE2">
      <w:pPr>
        <w:rPr>
          <w:sz w:val="24"/>
          <w:szCs w:val="24"/>
        </w:rPr>
        <w:sectPr w:rsidR="00292AE2" w:rsidSect="00292AE2">
          <w:pgSz w:w="12240" w:h="15840"/>
          <w:pgMar w:top="1440" w:right="1440" w:bottom="1260" w:left="1440" w:header="1440" w:footer="1440" w:gutter="0"/>
          <w:cols w:space="720"/>
        </w:sectPr>
      </w:pPr>
    </w:p>
    <w:p w:rsidR="00292AE2" w:rsidRDefault="00292AE2" w:rsidP="00292AE2">
      <w:pPr>
        <w:rPr>
          <w:sz w:val="24"/>
          <w:szCs w:val="24"/>
        </w:rPr>
      </w:pPr>
      <w:r>
        <w:rPr>
          <w:sz w:val="24"/>
          <w:szCs w:val="24"/>
        </w:rPr>
        <w:lastRenderedPageBreak/>
        <w:tab/>
      </w:r>
      <w:proofErr w:type="spellStart"/>
      <w:r>
        <w:rPr>
          <w:sz w:val="24"/>
          <w:szCs w:val="24"/>
        </w:rPr>
        <w:t>Altschuler</w:t>
      </w:r>
      <w:proofErr w:type="spellEnd"/>
      <w:r>
        <w:rPr>
          <w:sz w:val="24"/>
          <w:szCs w:val="24"/>
        </w:rPr>
        <w:t xml:space="preserve"> &amp; </w:t>
      </w:r>
      <w:proofErr w:type="spellStart"/>
      <w:r>
        <w:rPr>
          <w:sz w:val="24"/>
          <w:szCs w:val="24"/>
        </w:rPr>
        <w:t>Saltzgaber</w:t>
      </w:r>
      <w:proofErr w:type="spellEnd"/>
      <w:r>
        <w:rPr>
          <w:sz w:val="24"/>
          <w:szCs w:val="24"/>
        </w:rPr>
        <w:t xml:space="preserve">, </w:t>
      </w:r>
      <w:r>
        <w:rPr>
          <w:sz w:val="24"/>
          <w:szCs w:val="24"/>
          <w:u w:val="single"/>
        </w:rPr>
        <w:t>Revivalism, Social Conscience and Community</w:t>
      </w:r>
      <w:r>
        <w:rPr>
          <w:sz w:val="24"/>
          <w:szCs w:val="24"/>
        </w:rPr>
        <w:tab/>
      </w:r>
    </w:p>
    <w:p w:rsidR="00292AE2" w:rsidRDefault="00292AE2" w:rsidP="00292AE2">
      <w:pPr>
        <w:rPr>
          <w:sz w:val="24"/>
          <w:szCs w:val="24"/>
        </w:rPr>
      </w:pPr>
      <w:r>
        <w:rPr>
          <w:sz w:val="24"/>
          <w:szCs w:val="24"/>
        </w:rPr>
        <w:t>Additional reading assignments will be distributed in class.</w:t>
      </w:r>
    </w:p>
    <w:p w:rsidR="00292AE2" w:rsidRDefault="00292AE2" w:rsidP="00292AE2">
      <w:pPr>
        <w:rPr>
          <w:sz w:val="24"/>
          <w:szCs w:val="24"/>
        </w:rPr>
      </w:pPr>
    </w:p>
    <w:p w:rsidR="00292AE2" w:rsidRDefault="00292AE2" w:rsidP="00292AE2">
      <w:pPr>
        <w:rPr>
          <w:sz w:val="24"/>
          <w:szCs w:val="24"/>
        </w:rPr>
      </w:pPr>
      <w:r>
        <w:rPr>
          <w:sz w:val="24"/>
          <w:szCs w:val="24"/>
          <w:u w:val="single"/>
        </w:rPr>
        <w:t>Assignments</w:t>
      </w:r>
      <w:r>
        <w:rPr>
          <w:sz w:val="24"/>
          <w:szCs w:val="24"/>
        </w:rPr>
        <w:t xml:space="preserve">: Each student will be required to write two papers (4 and 7 pages) and a final examination.  The precise paper topics will be distributed in class. </w:t>
      </w:r>
    </w:p>
    <w:p w:rsidR="00292AE2" w:rsidRDefault="00292AE2" w:rsidP="00292AE2">
      <w:pPr>
        <w:rPr>
          <w:sz w:val="24"/>
          <w:szCs w:val="24"/>
        </w:rPr>
      </w:pPr>
    </w:p>
    <w:p w:rsidR="00292AE2" w:rsidRDefault="00292AE2" w:rsidP="00292AE2">
      <w:pPr>
        <w:rPr>
          <w:sz w:val="24"/>
          <w:szCs w:val="24"/>
        </w:rPr>
      </w:pPr>
      <w:r>
        <w:rPr>
          <w:sz w:val="24"/>
          <w:szCs w:val="24"/>
        </w:rPr>
        <w:tab/>
        <w:t xml:space="preserve">The course grade will be determined by the following formula: papers 15-20% and 35-40%; final examination 35%; class participation 10%. </w:t>
      </w:r>
    </w:p>
    <w:p w:rsidR="00292AE2" w:rsidRDefault="00292AE2" w:rsidP="00292AE2">
      <w:pPr>
        <w:rPr>
          <w:sz w:val="24"/>
          <w:szCs w:val="24"/>
        </w:rPr>
      </w:pPr>
    </w:p>
    <w:p w:rsidR="00292AE2" w:rsidRDefault="00292AE2" w:rsidP="00292AE2">
      <w:pPr>
        <w:rPr>
          <w:sz w:val="24"/>
          <w:szCs w:val="24"/>
        </w:rPr>
      </w:pPr>
      <w:r>
        <w:rPr>
          <w:sz w:val="24"/>
          <w:szCs w:val="24"/>
        </w:rPr>
        <w:tab/>
        <w:t>Class participation is important; students will be prepared to discuss the following reading assignments on the days noted.  Frequent absences will lower one’s grade for the course.  The schedule is always subject to minor changes.</w:t>
      </w:r>
    </w:p>
    <w:p w:rsidR="00292AE2" w:rsidRDefault="00292AE2" w:rsidP="00292AE2">
      <w:pPr>
        <w:rPr>
          <w:sz w:val="24"/>
          <w:szCs w:val="24"/>
        </w:rPr>
      </w:pPr>
    </w:p>
    <w:p w:rsidR="00292AE2" w:rsidRDefault="00292AE2" w:rsidP="00292AE2">
      <w:pPr>
        <w:rPr>
          <w:sz w:val="24"/>
          <w:szCs w:val="24"/>
        </w:rPr>
      </w:pPr>
      <w:r>
        <w:rPr>
          <w:sz w:val="24"/>
          <w:szCs w:val="24"/>
          <w:u w:val="single"/>
        </w:rPr>
        <w:t>Class Schedule and Assignments</w:t>
      </w:r>
    </w:p>
    <w:p w:rsidR="00292AE2" w:rsidRDefault="00292AE2" w:rsidP="00292AE2">
      <w:pPr>
        <w:rPr>
          <w:sz w:val="24"/>
          <w:szCs w:val="24"/>
        </w:rPr>
      </w:pPr>
      <w:r>
        <w:rPr>
          <w:sz w:val="24"/>
          <w:szCs w:val="24"/>
        </w:rPr>
        <w:t xml:space="preserve">Jan. 14 </w:t>
      </w:r>
    </w:p>
    <w:p w:rsidR="00292AE2" w:rsidRDefault="00292AE2" w:rsidP="00292AE2">
      <w:pPr>
        <w:tabs>
          <w:tab w:val="left" w:pos="720"/>
        </w:tabs>
        <w:ind w:left="720" w:hanging="720"/>
        <w:rPr>
          <w:sz w:val="24"/>
          <w:szCs w:val="24"/>
        </w:rPr>
      </w:pPr>
      <w:r>
        <w:rPr>
          <w:sz w:val="24"/>
          <w:szCs w:val="24"/>
        </w:rPr>
        <w:t>15</w:t>
      </w:r>
      <w:r>
        <w:rPr>
          <w:sz w:val="24"/>
          <w:szCs w:val="24"/>
        </w:rPr>
        <w:tab/>
        <w:t>Burstein, 3-58</w:t>
      </w:r>
    </w:p>
    <w:p w:rsidR="00292AE2" w:rsidRDefault="00292AE2" w:rsidP="00292AE2">
      <w:pPr>
        <w:tabs>
          <w:tab w:val="left" w:pos="720"/>
        </w:tabs>
        <w:ind w:left="720" w:hanging="720"/>
        <w:rPr>
          <w:sz w:val="24"/>
          <w:szCs w:val="24"/>
        </w:rPr>
      </w:pPr>
      <w:r>
        <w:rPr>
          <w:sz w:val="24"/>
          <w:szCs w:val="24"/>
        </w:rPr>
        <w:t>16</w:t>
      </w:r>
      <w:r>
        <w:rPr>
          <w:sz w:val="24"/>
          <w:szCs w:val="24"/>
        </w:rPr>
        <w:tab/>
        <w:t xml:space="preserve">Burstein, 59-129     </w:t>
      </w:r>
    </w:p>
    <w:p w:rsidR="00292AE2" w:rsidRDefault="00292AE2" w:rsidP="00292AE2">
      <w:pPr>
        <w:tabs>
          <w:tab w:val="left" w:pos="720"/>
        </w:tabs>
        <w:ind w:left="720" w:hanging="720"/>
        <w:rPr>
          <w:sz w:val="24"/>
          <w:szCs w:val="24"/>
        </w:rPr>
      </w:pPr>
      <w:r>
        <w:rPr>
          <w:sz w:val="24"/>
          <w:szCs w:val="24"/>
        </w:rPr>
        <w:t>17</w:t>
      </w:r>
      <w:r>
        <w:rPr>
          <w:sz w:val="24"/>
          <w:szCs w:val="24"/>
        </w:rPr>
        <w:tab/>
        <w:t>Burstein, 130-204</w:t>
      </w:r>
    </w:p>
    <w:p w:rsidR="00292AE2" w:rsidRDefault="00292AE2" w:rsidP="00292AE2">
      <w:pPr>
        <w:tabs>
          <w:tab w:val="left" w:pos="720"/>
        </w:tabs>
        <w:ind w:left="720" w:hanging="720"/>
        <w:rPr>
          <w:sz w:val="24"/>
          <w:szCs w:val="24"/>
        </w:rPr>
      </w:pPr>
      <w:r>
        <w:rPr>
          <w:sz w:val="24"/>
          <w:szCs w:val="24"/>
        </w:rPr>
        <w:t>18</w:t>
      </w:r>
      <w:r>
        <w:rPr>
          <w:sz w:val="24"/>
          <w:szCs w:val="24"/>
        </w:rPr>
        <w:tab/>
        <w:t>Burstein, 205-308</w:t>
      </w:r>
    </w:p>
    <w:p w:rsidR="00292AE2" w:rsidRDefault="00292AE2" w:rsidP="00292AE2">
      <w:pPr>
        <w:rPr>
          <w:sz w:val="24"/>
          <w:szCs w:val="24"/>
        </w:rPr>
      </w:pPr>
    </w:p>
    <w:p w:rsidR="00292AE2" w:rsidRDefault="00292AE2" w:rsidP="00292AE2">
      <w:pPr>
        <w:tabs>
          <w:tab w:val="left" w:pos="720"/>
        </w:tabs>
        <w:ind w:left="720" w:hanging="720"/>
        <w:rPr>
          <w:sz w:val="24"/>
          <w:szCs w:val="24"/>
        </w:rPr>
      </w:pPr>
      <w:r>
        <w:rPr>
          <w:sz w:val="24"/>
          <w:szCs w:val="24"/>
        </w:rPr>
        <w:t>21</w:t>
      </w:r>
      <w:r>
        <w:rPr>
          <w:sz w:val="24"/>
          <w:szCs w:val="24"/>
        </w:rPr>
        <w:tab/>
      </w:r>
      <w:proofErr w:type="spellStart"/>
      <w:r>
        <w:rPr>
          <w:sz w:val="24"/>
          <w:szCs w:val="24"/>
        </w:rPr>
        <w:t>Wilentz</w:t>
      </w:r>
      <w:proofErr w:type="spellEnd"/>
      <w:r>
        <w:rPr>
          <w:sz w:val="24"/>
          <w:szCs w:val="24"/>
        </w:rPr>
        <w:t>, 1-88</w:t>
      </w:r>
    </w:p>
    <w:p w:rsidR="00292AE2" w:rsidRDefault="00292AE2" w:rsidP="00292AE2">
      <w:pPr>
        <w:tabs>
          <w:tab w:val="left" w:pos="720"/>
        </w:tabs>
        <w:ind w:left="720" w:hanging="720"/>
        <w:rPr>
          <w:sz w:val="24"/>
          <w:szCs w:val="24"/>
        </w:rPr>
      </w:pPr>
      <w:r>
        <w:rPr>
          <w:sz w:val="24"/>
          <w:szCs w:val="24"/>
        </w:rPr>
        <w:t>22</w:t>
      </w:r>
      <w:r>
        <w:rPr>
          <w:sz w:val="24"/>
          <w:szCs w:val="24"/>
        </w:rPr>
        <w:tab/>
      </w:r>
      <w:proofErr w:type="spellStart"/>
      <w:r>
        <w:rPr>
          <w:sz w:val="24"/>
          <w:szCs w:val="24"/>
        </w:rPr>
        <w:t>Wilentz</w:t>
      </w:r>
      <w:proofErr w:type="spellEnd"/>
      <w:r>
        <w:rPr>
          <w:sz w:val="24"/>
          <w:szCs w:val="24"/>
        </w:rPr>
        <w:t>, 89-137</w:t>
      </w:r>
    </w:p>
    <w:p w:rsidR="00292AE2" w:rsidRDefault="00292AE2" w:rsidP="00292AE2">
      <w:pPr>
        <w:tabs>
          <w:tab w:val="left" w:pos="720"/>
        </w:tabs>
        <w:ind w:left="720" w:hanging="720"/>
        <w:rPr>
          <w:sz w:val="24"/>
          <w:szCs w:val="24"/>
        </w:rPr>
      </w:pPr>
      <w:r>
        <w:rPr>
          <w:sz w:val="24"/>
          <w:szCs w:val="24"/>
        </w:rPr>
        <w:t>23</w:t>
      </w:r>
      <w:r>
        <w:rPr>
          <w:sz w:val="24"/>
          <w:szCs w:val="24"/>
        </w:rPr>
        <w:tab/>
      </w:r>
      <w:proofErr w:type="spellStart"/>
      <w:r>
        <w:rPr>
          <w:sz w:val="24"/>
          <w:szCs w:val="24"/>
        </w:rPr>
        <w:t>Wilentz</w:t>
      </w:r>
      <w:proofErr w:type="spellEnd"/>
      <w:r>
        <w:rPr>
          <w:sz w:val="24"/>
          <w:szCs w:val="24"/>
        </w:rPr>
        <w:t>, 138-163; Benson, “</w:t>
      </w:r>
      <w:proofErr w:type="spellStart"/>
      <w:r>
        <w:rPr>
          <w:sz w:val="24"/>
          <w:szCs w:val="24"/>
        </w:rPr>
        <w:t>Ethnocultural</w:t>
      </w:r>
      <w:proofErr w:type="spellEnd"/>
      <w:r>
        <w:rPr>
          <w:sz w:val="24"/>
          <w:szCs w:val="24"/>
        </w:rPr>
        <w:t xml:space="preserve"> Groups and Political Parties”</w:t>
      </w:r>
    </w:p>
    <w:p w:rsidR="00292AE2" w:rsidRDefault="00292AE2" w:rsidP="00292AE2">
      <w:pPr>
        <w:rPr>
          <w:sz w:val="24"/>
          <w:szCs w:val="24"/>
        </w:rPr>
      </w:pPr>
      <w:r>
        <w:rPr>
          <w:sz w:val="24"/>
          <w:szCs w:val="24"/>
        </w:rPr>
        <w:t xml:space="preserve">24        </w:t>
      </w:r>
      <w:proofErr w:type="spellStart"/>
      <w:r>
        <w:rPr>
          <w:sz w:val="24"/>
          <w:szCs w:val="24"/>
        </w:rPr>
        <w:t>Newmyer</w:t>
      </w:r>
      <w:proofErr w:type="spellEnd"/>
      <w:r>
        <w:rPr>
          <w:sz w:val="24"/>
          <w:szCs w:val="24"/>
        </w:rPr>
        <w:t>, 1-54</w:t>
      </w:r>
    </w:p>
    <w:p w:rsidR="00292AE2" w:rsidRDefault="00292AE2" w:rsidP="00292AE2">
      <w:pPr>
        <w:tabs>
          <w:tab w:val="left" w:pos="720"/>
        </w:tabs>
        <w:ind w:left="720" w:hanging="720"/>
        <w:rPr>
          <w:sz w:val="24"/>
          <w:szCs w:val="24"/>
        </w:rPr>
      </w:pPr>
      <w:r>
        <w:rPr>
          <w:sz w:val="24"/>
          <w:szCs w:val="24"/>
        </w:rPr>
        <w:t>25</w:t>
      </w:r>
      <w:r>
        <w:rPr>
          <w:sz w:val="24"/>
          <w:szCs w:val="24"/>
        </w:rPr>
        <w:tab/>
      </w:r>
      <w:proofErr w:type="spellStart"/>
      <w:r>
        <w:rPr>
          <w:sz w:val="24"/>
          <w:szCs w:val="24"/>
        </w:rPr>
        <w:t>Newmyer</w:t>
      </w:r>
      <w:proofErr w:type="spellEnd"/>
      <w:r>
        <w:rPr>
          <w:sz w:val="24"/>
          <w:szCs w:val="24"/>
        </w:rPr>
        <w:t>, 55-88</w:t>
      </w:r>
    </w:p>
    <w:p w:rsidR="00292AE2" w:rsidRDefault="00292AE2" w:rsidP="00292AE2">
      <w:pPr>
        <w:rPr>
          <w:sz w:val="24"/>
          <w:szCs w:val="24"/>
        </w:rPr>
      </w:pPr>
    </w:p>
    <w:p w:rsidR="00292AE2" w:rsidRDefault="00292AE2" w:rsidP="00292AE2">
      <w:pPr>
        <w:tabs>
          <w:tab w:val="left" w:pos="720"/>
        </w:tabs>
        <w:ind w:left="720" w:hanging="720"/>
        <w:rPr>
          <w:sz w:val="24"/>
          <w:szCs w:val="24"/>
        </w:rPr>
      </w:pPr>
      <w:r>
        <w:rPr>
          <w:sz w:val="24"/>
          <w:szCs w:val="24"/>
        </w:rPr>
        <w:t>28</w:t>
      </w:r>
      <w:r>
        <w:rPr>
          <w:sz w:val="24"/>
          <w:szCs w:val="24"/>
        </w:rPr>
        <w:tab/>
      </w:r>
      <w:proofErr w:type="spellStart"/>
      <w:r>
        <w:rPr>
          <w:sz w:val="24"/>
          <w:szCs w:val="24"/>
        </w:rPr>
        <w:t>Newmyer</w:t>
      </w:r>
      <w:proofErr w:type="spellEnd"/>
      <w:r>
        <w:rPr>
          <w:sz w:val="24"/>
          <w:szCs w:val="24"/>
        </w:rPr>
        <w:t>, 89-127, 146-152;</w:t>
      </w:r>
    </w:p>
    <w:p w:rsidR="00292AE2" w:rsidRDefault="00292AE2" w:rsidP="00292AE2">
      <w:pPr>
        <w:rPr>
          <w:sz w:val="24"/>
          <w:szCs w:val="24"/>
        </w:rPr>
      </w:pPr>
      <w:r>
        <w:rPr>
          <w:sz w:val="24"/>
          <w:szCs w:val="24"/>
        </w:rPr>
        <w:tab/>
        <w:t>Douglass, “What to the Slave Is the Fourth of July?”</w:t>
      </w:r>
    </w:p>
    <w:p w:rsidR="00292AE2" w:rsidRDefault="00292AE2" w:rsidP="00292AE2">
      <w:pPr>
        <w:tabs>
          <w:tab w:val="left" w:pos="720"/>
        </w:tabs>
        <w:ind w:left="720" w:hanging="720"/>
        <w:rPr>
          <w:sz w:val="24"/>
          <w:szCs w:val="24"/>
        </w:rPr>
      </w:pPr>
      <w:r>
        <w:rPr>
          <w:sz w:val="24"/>
          <w:szCs w:val="24"/>
        </w:rPr>
        <w:t>29</w:t>
      </w:r>
      <w:r>
        <w:rPr>
          <w:sz w:val="24"/>
          <w:szCs w:val="24"/>
        </w:rPr>
        <w:tab/>
      </w:r>
      <w:proofErr w:type="spellStart"/>
      <w:r>
        <w:rPr>
          <w:sz w:val="24"/>
          <w:szCs w:val="24"/>
        </w:rPr>
        <w:t>Melder</w:t>
      </w:r>
      <w:proofErr w:type="spellEnd"/>
      <w:r>
        <w:rPr>
          <w:sz w:val="24"/>
          <w:szCs w:val="24"/>
        </w:rPr>
        <w:t>, “Abby Kelley”;</w:t>
      </w:r>
    </w:p>
    <w:p w:rsidR="00292AE2" w:rsidRDefault="00292AE2" w:rsidP="00292AE2">
      <w:pPr>
        <w:rPr>
          <w:sz w:val="24"/>
          <w:szCs w:val="24"/>
        </w:rPr>
      </w:pPr>
      <w:r>
        <w:rPr>
          <w:sz w:val="24"/>
          <w:szCs w:val="24"/>
        </w:rPr>
        <w:tab/>
      </w:r>
      <w:proofErr w:type="spellStart"/>
      <w:r>
        <w:rPr>
          <w:sz w:val="24"/>
          <w:szCs w:val="24"/>
        </w:rPr>
        <w:t>Altschuler</w:t>
      </w:r>
      <w:proofErr w:type="spellEnd"/>
      <w:r>
        <w:rPr>
          <w:sz w:val="24"/>
          <w:szCs w:val="24"/>
        </w:rPr>
        <w:t xml:space="preserve"> &amp; </w:t>
      </w:r>
      <w:proofErr w:type="spellStart"/>
      <w:r>
        <w:rPr>
          <w:sz w:val="24"/>
          <w:szCs w:val="24"/>
        </w:rPr>
        <w:t>Saltzgaber</w:t>
      </w:r>
      <w:proofErr w:type="spellEnd"/>
      <w:r>
        <w:rPr>
          <w:sz w:val="24"/>
          <w:szCs w:val="24"/>
        </w:rPr>
        <w:t>, Part One</w:t>
      </w:r>
    </w:p>
    <w:p w:rsidR="00292AE2" w:rsidRDefault="00292AE2" w:rsidP="00292AE2">
      <w:pPr>
        <w:tabs>
          <w:tab w:val="left" w:pos="720"/>
        </w:tabs>
        <w:ind w:left="720" w:hanging="720"/>
        <w:rPr>
          <w:sz w:val="24"/>
          <w:szCs w:val="24"/>
        </w:rPr>
      </w:pPr>
      <w:r>
        <w:rPr>
          <w:sz w:val="24"/>
          <w:szCs w:val="24"/>
        </w:rPr>
        <w:t>30</w:t>
      </w:r>
      <w:r>
        <w:rPr>
          <w:sz w:val="24"/>
          <w:szCs w:val="24"/>
        </w:rPr>
        <w:tab/>
      </w:r>
      <w:proofErr w:type="spellStart"/>
      <w:r>
        <w:rPr>
          <w:sz w:val="24"/>
          <w:szCs w:val="24"/>
        </w:rPr>
        <w:t>Altschuler</w:t>
      </w:r>
      <w:proofErr w:type="spellEnd"/>
      <w:r>
        <w:rPr>
          <w:sz w:val="24"/>
          <w:szCs w:val="24"/>
        </w:rPr>
        <w:t xml:space="preserve"> &amp; </w:t>
      </w:r>
      <w:proofErr w:type="spellStart"/>
      <w:r>
        <w:rPr>
          <w:sz w:val="24"/>
          <w:szCs w:val="24"/>
        </w:rPr>
        <w:t>Saltzgaber</w:t>
      </w:r>
      <w:proofErr w:type="spellEnd"/>
      <w:r>
        <w:rPr>
          <w:sz w:val="24"/>
          <w:szCs w:val="24"/>
        </w:rPr>
        <w:t>, Parts Two and Three</w:t>
      </w:r>
    </w:p>
    <w:p w:rsidR="00292AE2" w:rsidRDefault="00292AE2" w:rsidP="00292AE2">
      <w:pPr>
        <w:tabs>
          <w:tab w:val="left" w:pos="720"/>
        </w:tabs>
        <w:ind w:left="720" w:hanging="720"/>
        <w:rPr>
          <w:sz w:val="24"/>
          <w:szCs w:val="24"/>
        </w:rPr>
      </w:pPr>
      <w:r>
        <w:rPr>
          <w:sz w:val="24"/>
          <w:szCs w:val="24"/>
        </w:rPr>
        <w:t>31</w:t>
      </w:r>
      <w:r>
        <w:rPr>
          <w:sz w:val="24"/>
          <w:szCs w:val="24"/>
        </w:rPr>
        <w:tab/>
      </w:r>
      <w:proofErr w:type="spellStart"/>
      <w:r>
        <w:rPr>
          <w:sz w:val="24"/>
          <w:szCs w:val="24"/>
        </w:rPr>
        <w:t>Faragher</w:t>
      </w:r>
      <w:proofErr w:type="spellEnd"/>
      <w:r>
        <w:rPr>
          <w:sz w:val="24"/>
          <w:szCs w:val="24"/>
        </w:rPr>
        <w:t>, 1-75</w:t>
      </w:r>
    </w:p>
    <w:p w:rsidR="00292AE2" w:rsidRDefault="00292AE2" w:rsidP="00292AE2">
      <w:pPr>
        <w:tabs>
          <w:tab w:val="left" w:pos="720"/>
        </w:tabs>
        <w:ind w:left="720" w:hanging="720"/>
        <w:rPr>
          <w:sz w:val="24"/>
          <w:szCs w:val="24"/>
        </w:rPr>
      </w:pPr>
      <w:r>
        <w:rPr>
          <w:sz w:val="24"/>
          <w:szCs w:val="24"/>
        </w:rPr>
        <w:t xml:space="preserve">Feb. 1 </w:t>
      </w:r>
      <w:r>
        <w:rPr>
          <w:sz w:val="24"/>
          <w:szCs w:val="24"/>
        </w:rPr>
        <w:tab/>
      </w:r>
      <w:proofErr w:type="spellStart"/>
      <w:r>
        <w:rPr>
          <w:sz w:val="24"/>
          <w:szCs w:val="24"/>
        </w:rPr>
        <w:t>Faragher</w:t>
      </w:r>
      <w:proofErr w:type="spellEnd"/>
      <w:r>
        <w:rPr>
          <w:sz w:val="24"/>
          <w:szCs w:val="24"/>
        </w:rPr>
        <w:t>, 77-170</w:t>
      </w:r>
    </w:p>
    <w:p w:rsidR="00292AE2" w:rsidRDefault="00292AE2" w:rsidP="00292AE2">
      <w:pPr>
        <w:rPr>
          <w:sz w:val="24"/>
          <w:szCs w:val="24"/>
        </w:rPr>
      </w:pPr>
    </w:p>
    <w:p w:rsidR="00292AE2" w:rsidRDefault="00292AE2" w:rsidP="00292AE2">
      <w:pPr>
        <w:tabs>
          <w:tab w:val="left" w:pos="720"/>
        </w:tabs>
        <w:ind w:left="720" w:hanging="720"/>
        <w:rPr>
          <w:sz w:val="24"/>
          <w:szCs w:val="24"/>
        </w:rPr>
      </w:pPr>
      <w:r>
        <w:rPr>
          <w:sz w:val="24"/>
          <w:szCs w:val="24"/>
        </w:rPr>
        <w:t xml:space="preserve"> 4</w:t>
      </w:r>
      <w:r>
        <w:rPr>
          <w:sz w:val="24"/>
          <w:szCs w:val="24"/>
        </w:rPr>
        <w:tab/>
      </w:r>
      <w:proofErr w:type="spellStart"/>
      <w:r>
        <w:rPr>
          <w:sz w:val="24"/>
          <w:szCs w:val="24"/>
        </w:rPr>
        <w:t>Faragher</w:t>
      </w:r>
      <w:proofErr w:type="spellEnd"/>
      <w:r>
        <w:rPr>
          <w:sz w:val="24"/>
          <w:szCs w:val="24"/>
        </w:rPr>
        <w:t>, 171-238</w:t>
      </w:r>
    </w:p>
    <w:p w:rsidR="00292AE2" w:rsidRDefault="00292AE2" w:rsidP="00292AE2">
      <w:pPr>
        <w:rPr>
          <w:sz w:val="24"/>
          <w:szCs w:val="24"/>
        </w:rPr>
      </w:pPr>
      <w:r>
        <w:rPr>
          <w:sz w:val="24"/>
          <w:szCs w:val="24"/>
        </w:rPr>
        <w:t xml:space="preserve"> 5</w:t>
      </w:r>
    </w:p>
    <w:p w:rsidR="00292AE2" w:rsidRDefault="00292AE2" w:rsidP="00292AE2">
      <w:pPr>
        <w:tabs>
          <w:tab w:val="left" w:pos="720"/>
        </w:tabs>
        <w:ind w:left="720" w:hanging="720"/>
        <w:rPr>
          <w:sz w:val="24"/>
          <w:szCs w:val="24"/>
        </w:rPr>
      </w:pPr>
      <w:r>
        <w:rPr>
          <w:sz w:val="24"/>
          <w:szCs w:val="24"/>
        </w:rPr>
        <w:t xml:space="preserve"> 6</w:t>
      </w:r>
      <w:r>
        <w:rPr>
          <w:sz w:val="24"/>
          <w:szCs w:val="24"/>
        </w:rPr>
        <w:tab/>
      </w:r>
      <w:r>
        <w:rPr>
          <w:b/>
          <w:bCs/>
          <w:sz w:val="24"/>
          <w:szCs w:val="24"/>
        </w:rPr>
        <w:t>FINAL EXAMINATION</w:t>
      </w:r>
    </w:p>
    <w:p w:rsidR="00292AE2" w:rsidRDefault="00292AE2" w:rsidP="00292AE2">
      <w:pPr>
        <w:rPr>
          <w:rFonts w:ascii="Courier New" w:hAnsi="Courier New" w:cs="Courier New"/>
          <w:sz w:val="24"/>
          <w:szCs w:val="24"/>
        </w:rPr>
      </w:pPr>
    </w:p>
    <w:p w:rsidR="00292AE2" w:rsidRDefault="00292AE2" w:rsidP="00292AE2">
      <w:pPr>
        <w:rPr>
          <w:rFonts w:ascii="Courier New" w:hAnsi="Courier New" w:cs="Courier New"/>
          <w:sz w:val="24"/>
          <w:szCs w:val="24"/>
        </w:rPr>
      </w:pPr>
    </w:p>
    <w:p w:rsidR="00292AE2" w:rsidRDefault="00292AE2" w:rsidP="00292AE2">
      <w:pPr>
        <w:rPr>
          <w:rFonts w:ascii="Courier New" w:hAnsi="Courier New" w:cs="Courier New"/>
          <w:sz w:val="24"/>
          <w:szCs w:val="24"/>
        </w:rPr>
      </w:pPr>
    </w:p>
    <w:p w:rsidR="00292AE2" w:rsidRDefault="00292AE2" w:rsidP="00292AE2">
      <w:pPr>
        <w:rPr>
          <w:rFonts w:ascii="Courier New" w:hAnsi="Courier New" w:cs="Courier New"/>
          <w:sz w:val="24"/>
          <w:szCs w:val="24"/>
        </w:rPr>
      </w:pPr>
    </w:p>
    <w:p w:rsidR="00292AE2" w:rsidRDefault="00292AE2" w:rsidP="00292AE2">
      <w:pPr>
        <w:rPr>
          <w:rFonts w:ascii="Calibri" w:hAnsi="Calibri" w:cs="Calibri"/>
          <w:sz w:val="22"/>
          <w:szCs w:val="22"/>
        </w:rPr>
      </w:pPr>
      <w:r>
        <w:rPr>
          <w:rFonts w:ascii="Calibri" w:hAnsi="Calibri" w:cs="Calibri"/>
          <w:sz w:val="22"/>
          <w:szCs w:val="22"/>
        </w:rPr>
        <w:t>The Fine Print – please read carefully</w:t>
      </w:r>
    </w:p>
    <w:p w:rsidR="00292AE2" w:rsidRDefault="00292AE2" w:rsidP="00292AE2">
      <w:pPr>
        <w:rPr>
          <w:sz w:val="24"/>
          <w:szCs w:val="24"/>
        </w:rPr>
      </w:pPr>
    </w:p>
    <w:p w:rsidR="00292AE2" w:rsidRDefault="00292AE2" w:rsidP="00292AE2">
      <w:pPr>
        <w:spacing w:before="98" w:after="98"/>
        <w:rPr>
          <w:i/>
          <w:iCs/>
        </w:rPr>
      </w:pPr>
      <w:proofErr w:type="gramStart"/>
      <w:r>
        <w:rPr>
          <w:b/>
          <w:bCs/>
          <w:i/>
          <w:iCs/>
          <w:sz w:val="24"/>
          <w:szCs w:val="24"/>
        </w:rPr>
        <w:t xml:space="preserve">Academic Honesty </w:t>
      </w:r>
      <w:r>
        <w:rPr>
          <w:i/>
          <w:iCs/>
          <w:sz w:val="24"/>
          <w:szCs w:val="24"/>
        </w:rPr>
        <w:t>expectations.</w:t>
      </w:r>
      <w:proofErr w:type="gramEnd"/>
    </w:p>
    <w:p w:rsidR="00292AE2" w:rsidRDefault="00292AE2" w:rsidP="00292AE2">
      <w:pPr>
        <w:spacing w:before="98" w:after="98"/>
        <w:rPr>
          <w:i/>
          <w:iCs/>
          <w:sz w:val="24"/>
          <w:szCs w:val="24"/>
        </w:rPr>
      </w:pPr>
      <w:r>
        <w:rPr>
          <w:i/>
          <w:iCs/>
          <w:sz w:val="24"/>
          <w:szCs w:val="24"/>
        </w:rPr>
        <w:t xml:space="preserve">Cornell College expects all members of the Cornell community to act with academic integrity. An important aspect of academic integrity is respecting the work of others. A student is expected to acknowledge explicitly the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Pr>
          <w:sz w:val="24"/>
          <w:szCs w:val="24"/>
        </w:rPr>
        <w:t>The Academic Catalogue</w:t>
      </w:r>
      <w:r>
        <w:rPr>
          <w:i/>
          <w:iCs/>
          <w:sz w:val="24"/>
          <w:szCs w:val="24"/>
        </w:rPr>
        <w:t xml:space="preserve">, under the heading: “Academic Information – Academic Honesty.”  </w:t>
      </w:r>
    </w:p>
    <w:p w:rsidR="00292AE2" w:rsidRDefault="00292AE2" w:rsidP="00292AE2">
      <w:pPr>
        <w:spacing w:after="98"/>
        <w:rPr>
          <w:i/>
          <w:iCs/>
        </w:rPr>
      </w:pPr>
      <w:r>
        <w:rPr>
          <w:i/>
          <w:iCs/>
          <w:sz w:val="24"/>
          <w:szCs w:val="24"/>
        </w:rPr>
        <w:t>In this class, a student who violates the Academic Honesty policy will fail the course.</w:t>
      </w:r>
      <w:r>
        <w:rPr>
          <w:i/>
          <w:iCs/>
        </w:rPr>
        <w:t xml:space="preserve">  </w:t>
      </w:r>
    </w:p>
    <w:p w:rsidR="00292AE2" w:rsidRDefault="00292AE2" w:rsidP="00292AE2">
      <w:pPr>
        <w:spacing w:before="98" w:after="98"/>
        <w:rPr>
          <w:b/>
          <w:bCs/>
          <w:i/>
          <w:iCs/>
          <w:sz w:val="24"/>
          <w:szCs w:val="24"/>
        </w:rPr>
      </w:pPr>
    </w:p>
    <w:p w:rsidR="00292AE2" w:rsidRDefault="00292AE2" w:rsidP="00292AE2">
      <w:pPr>
        <w:spacing w:after="98"/>
        <w:rPr>
          <w:i/>
          <w:iCs/>
        </w:rPr>
      </w:pPr>
      <w:proofErr w:type="gramStart"/>
      <w:r>
        <w:rPr>
          <w:b/>
          <w:bCs/>
          <w:i/>
          <w:iCs/>
          <w:sz w:val="24"/>
          <w:szCs w:val="24"/>
        </w:rPr>
        <w:t>Students with disabilities</w:t>
      </w:r>
      <w:r>
        <w:rPr>
          <w:i/>
          <w:iCs/>
          <w:sz w:val="24"/>
          <w:szCs w:val="24"/>
        </w:rPr>
        <w:t>.</w:t>
      </w:r>
      <w:proofErr w:type="gramEnd"/>
    </w:p>
    <w:p w:rsidR="00292AE2" w:rsidRDefault="00292AE2" w:rsidP="00292AE2">
      <w:pPr>
        <w:spacing w:before="98" w:after="98"/>
        <w:rPr>
          <w:i/>
          <w:iCs/>
        </w:rPr>
      </w:pPr>
      <w:r>
        <w:rPr>
          <w:i/>
          <w:iCs/>
          <w:sz w:val="24"/>
          <w:szCs w:val="24"/>
        </w:rPr>
        <w:t>Students who need accommodations for learning disabilities must provide documentation from a professional qualified to diagnose learning disabilities. For more information see</w:t>
      </w:r>
    </w:p>
    <w:p w:rsidR="00292AE2" w:rsidRDefault="00292AE2" w:rsidP="00292AE2">
      <w:pPr>
        <w:spacing w:before="98" w:after="98"/>
        <w:rPr>
          <w:sz w:val="24"/>
          <w:szCs w:val="24"/>
        </w:rPr>
      </w:pPr>
      <w:r>
        <w:rPr>
          <w:sz w:val="24"/>
          <w:szCs w:val="24"/>
        </w:rPr>
        <w:t>http://</w:t>
      </w:r>
      <w:hyperlink r:id="rId5" w:history="1">
        <w:r>
          <w:rPr>
            <w:color w:val="0000FF"/>
            <w:sz w:val="24"/>
            <w:szCs w:val="24"/>
            <w:u w:val="single"/>
          </w:rPr>
          <w:t>cornellcollege.edu/disabilities/documentation/index.shtml</w:t>
        </w:r>
      </w:hyperlink>
    </w:p>
    <w:p w:rsidR="00292AE2" w:rsidRDefault="00292AE2" w:rsidP="00292AE2">
      <w:pPr>
        <w:spacing w:before="98" w:after="98"/>
        <w:rPr>
          <w:i/>
          <w:iCs/>
        </w:rPr>
      </w:pPr>
      <w:r>
        <w:rPr>
          <w:i/>
          <w:iCs/>
          <w:sz w:val="24"/>
          <w:szCs w:val="24"/>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292AE2" w:rsidRDefault="00292AE2" w:rsidP="00292AE2">
      <w:pPr>
        <w:spacing w:before="98" w:after="98"/>
        <w:rPr>
          <w:i/>
          <w:iCs/>
        </w:rPr>
      </w:pPr>
      <w:r>
        <w:rPr>
          <w:i/>
          <w:iCs/>
          <w:sz w:val="24"/>
          <w:szCs w:val="24"/>
        </w:rPr>
        <w:t>At the beginning of each course, the student must notify the instructor within the first three days of the term of any accommodations needed for the duration of the course.</w:t>
      </w:r>
    </w:p>
    <w:p w:rsidR="00292AE2" w:rsidRDefault="00292AE2" w:rsidP="00292AE2">
      <w:pPr>
        <w:rPr>
          <w:sz w:val="24"/>
          <w:szCs w:val="24"/>
        </w:rPr>
      </w:pPr>
      <w:r>
        <w:rPr>
          <w:sz w:val="24"/>
          <w:szCs w:val="24"/>
        </w:rPr>
        <w:tab/>
      </w:r>
    </w:p>
    <w:p w:rsidR="00292AE2" w:rsidRDefault="00292AE2" w:rsidP="00292AE2">
      <w:pPr>
        <w:rPr>
          <w:sz w:val="24"/>
          <w:szCs w:val="24"/>
        </w:rPr>
      </w:pPr>
    </w:p>
    <w:p w:rsidR="00292AE2" w:rsidRDefault="00292AE2" w:rsidP="00292AE2">
      <w:pPr>
        <w:rPr>
          <w:sz w:val="24"/>
          <w:szCs w:val="24"/>
        </w:rPr>
      </w:pPr>
    </w:p>
    <w:p w:rsidR="00292AE2" w:rsidRDefault="00292AE2" w:rsidP="00292AE2">
      <w:pPr>
        <w:rPr>
          <w:sz w:val="24"/>
          <w:szCs w:val="24"/>
        </w:rPr>
      </w:pPr>
    </w:p>
    <w:p w:rsidR="00292AE2" w:rsidRDefault="00292AE2" w:rsidP="00292AE2">
      <w:pPr>
        <w:rPr>
          <w:sz w:val="22"/>
          <w:szCs w:val="22"/>
        </w:rPr>
      </w:pPr>
      <w:r>
        <w:rPr>
          <w:sz w:val="22"/>
          <w:szCs w:val="22"/>
        </w:rPr>
        <w:t>Relevant Educational Priorities: Knowledge, Inquiry, Reasoning, Communication, Intercultural Literacy.</w:t>
      </w:r>
    </w:p>
    <w:p w:rsidR="00292AE2" w:rsidRDefault="00292AE2" w:rsidP="00292AE2">
      <w:pPr>
        <w:rPr>
          <w:sz w:val="24"/>
          <w:szCs w:val="24"/>
        </w:rPr>
      </w:pPr>
      <w:r>
        <w:rPr>
          <w:sz w:val="22"/>
          <w:szCs w:val="22"/>
        </w:rPr>
        <w:t xml:space="preserve">A description of these Priorities can be found on the </w:t>
      </w:r>
      <w:r>
        <w:rPr>
          <w:i/>
          <w:iCs/>
          <w:sz w:val="22"/>
          <w:szCs w:val="22"/>
        </w:rPr>
        <w:t xml:space="preserve">Academic Catalogue </w:t>
      </w:r>
      <w:r>
        <w:rPr>
          <w:sz w:val="22"/>
          <w:szCs w:val="22"/>
        </w:rPr>
        <w:t>website.</w:t>
      </w:r>
    </w:p>
    <w:p w:rsidR="00F94626" w:rsidRDefault="00605C44"/>
    <w:sectPr w:rsidR="00F94626" w:rsidSect="001F512D">
      <w:type w:val="continuous"/>
      <w:pgSz w:w="12240" w:h="15840"/>
      <w:pgMar w:top="1440" w:right="126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AE2"/>
    <w:rsid w:val="00292AE2"/>
    <w:rsid w:val="004E3AD5"/>
    <w:rsid w:val="00605C44"/>
    <w:rsid w:val="008D6655"/>
    <w:rsid w:val="00C4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E2"/>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E2"/>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rnellcollege.edu/disabilities/documentation/index.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Lucas</dc:creator>
  <cp:lastModifiedBy>Phil Lucas</cp:lastModifiedBy>
  <cp:revision>2</cp:revision>
  <dcterms:created xsi:type="dcterms:W3CDTF">2019-01-11T21:43:00Z</dcterms:created>
  <dcterms:modified xsi:type="dcterms:W3CDTF">2019-01-11T21:49:00Z</dcterms:modified>
</cp:coreProperties>
</file>