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22B35" w14:textId="77777777" w:rsidR="006C1AF3" w:rsidRDefault="004B2385">
      <w:pPr>
        <w:pBdr>
          <w:top w:val="none" w:sz="0" w:space="28" w:color="auto"/>
        </w:pBdr>
        <w:spacing w:line="388" w:lineRule="auto"/>
        <w:jc w:val="both"/>
        <w:rPr>
          <w:color w:val="8C99A6"/>
        </w:rPr>
      </w:pPr>
      <w:r>
        <w:rPr>
          <w:rFonts w:ascii="微软雅黑" w:eastAsia="微软雅黑" w:hAnsi="微软雅黑" w:cs="微软雅黑" w:hint="eastAsia"/>
          <w:color w:val="8C99A6"/>
          <w:sz w:val="18"/>
        </w:rPr>
        <w:t xml:space="preserve">技术分析报告　</w:t>
      </w:r>
      <w:r>
        <w:rPr>
          <w:rFonts w:ascii="微软雅黑" w:eastAsia="微软雅黑" w:hAnsi="微软雅黑" w:cs="微软雅黑" w:hint="eastAsia"/>
          <w:color w:val="8C99A6"/>
          <w:sz w:val="18"/>
        </w:rPr>
        <w:t>|</w:t>
      </w:r>
      <w:r>
        <w:rPr>
          <w:rFonts w:ascii="微软雅黑" w:eastAsia="微软雅黑" w:hAnsi="微软雅黑" w:cs="微软雅黑" w:hint="eastAsia"/>
          <w:color w:val="8C99A6"/>
          <w:sz w:val="18"/>
        </w:rPr>
        <w:t xml:space="preserve">　内部使用　</w:t>
      </w:r>
      <w:r>
        <w:rPr>
          <w:rFonts w:ascii="微软雅黑" w:eastAsia="微软雅黑" w:hAnsi="微软雅黑" w:cs="微软雅黑" w:hint="eastAsia"/>
          <w:color w:val="8C99A6"/>
          <w:sz w:val="18"/>
        </w:rPr>
        <w:t>|</w:t>
      </w:r>
      <w:r>
        <w:rPr>
          <w:rFonts w:ascii="微软雅黑" w:eastAsia="微软雅黑" w:hAnsi="微软雅黑" w:cs="微软雅黑" w:hint="eastAsia"/>
          <w:color w:val="8C99A6"/>
          <w:sz w:val="18"/>
        </w:rPr>
        <w:t xml:space="preserve">　</w:t>
      </w:r>
      <w:r>
        <w:rPr>
          <w:rFonts w:ascii="微软雅黑" w:eastAsia="微软雅黑" w:hAnsi="微软雅黑" w:cs="微软雅黑" w:hint="eastAsia"/>
          <w:color w:val="8C99A6"/>
          <w:sz w:val="18"/>
        </w:rPr>
        <w:t xml:space="preserve">2026 </w:t>
      </w:r>
      <w:r>
        <w:rPr>
          <w:rFonts w:ascii="微软雅黑" w:eastAsia="微软雅黑" w:hAnsi="微软雅黑" w:cs="微软雅黑" w:hint="eastAsia"/>
          <w:color w:val="8C99A6"/>
          <w:sz w:val="18"/>
        </w:rPr>
        <w:t>年</w:t>
      </w:r>
      <w:r>
        <w:rPr>
          <w:rFonts w:ascii="微软雅黑" w:eastAsia="微软雅黑" w:hAnsi="微软雅黑" w:cs="微软雅黑" w:hint="eastAsia"/>
          <w:color w:val="8C99A6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8C99A6"/>
          <w:sz w:val="18"/>
        </w:rPr>
        <w:t>月</w:t>
      </w:r>
    </w:p>
    <w:p w14:paraId="5C407C99" w14:textId="77777777" w:rsidR="006C1AF3" w:rsidRDefault="004B2385">
      <w:pPr>
        <w:pStyle w:val="Heading1"/>
        <w:pBdr>
          <w:top w:val="none" w:sz="0" w:space="28" w:color="auto"/>
        </w:pBdr>
        <w:spacing w:before="100" w:beforeAutospacing="1" w:after="100" w:afterAutospacing="1" w:line="336" w:lineRule="auto"/>
        <w:rPr>
          <w:color w:val="1F4E79"/>
          <w:kern w:val="44"/>
          <w:sz w:val="44"/>
          <w:szCs w:val="44"/>
        </w:rPr>
      </w:pPr>
      <w:r>
        <w:rPr>
          <w:rFonts w:ascii="微软雅黑" w:eastAsia="微软雅黑" w:hAnsi="微软雅黑" w:cs="微软雅黑" w:hint="eastAsia"/>
          <w:color w:val="1F4E79"/>
          <w:sz w:val="44"/>
        </w:rPr>
        <w:t>「可制造性」评估维度深度解析</w:t>
      </w:r>
    </w:p>
    <w:p w14:paraId="30F8EC73" w14:textId="77777777" w:rsidR="006C1AF3" w:rsidRDefault="004B2385">
      <w:pPr>
        <w:pBdr>
          <w:top w:val="none" w:sz="0" w:space="28" w:color="auto"/>
        </w:pBdr>
        <w:spacing w:line="388" w:lineRule="auto"/>
        <w:jc w:val="both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22"/>
        </w:rPr>
        <w:t>L10</w:t>
      </w:r>
      <w:r>
        <w:rPr>
          <w:rFonts w:ascii="微软雅黑" w:eastAsia="微软雅黑" w:hAnsi="微软雅黑" w:cs="微软雅黑" w:hint="eastAsia"/>
          <w:color w:val="5C6B7A"/>
          <w:sz w:val="22"/>
        </w:rPr>
        <w:t>–</w:t>
      </w:r>
      <w:r>
        <w:rPr>
          <w:rFonts w:ascii="微软雅黑" w:eastAsia="微软雅黑" w:hAnsi="微软雅黑" w:cs="微软雅黑" w:hint="eastAsia"/>
          <w:color w:val="5C6B7A"/>
          <w:sz w:val="22"/>
        </w:rPr>
        <w:t xml:space="preserve">L12 </w:t>
      </w:r>
      <w:r>
        <w:rPr>
          <w:rFonts w:ascii="微软雅黑" w:eastAsia="微软雅黑" w:hAnsi="微软雅黑" w:cs="微软雅黑" w:hint="eastAsia"/>
          <w:color w:val="5C6B7A"/>
          <w:sz w:val="22"/>
        </w:rPr>
        <w:t>测试覆盖、线缆与液路验证，以及「样机可运行即视为可量产」的工程含义</w:t>
      </w:r>
    </w:p>
    <w:p w14:paraId="5893BCB6" w14:textId="77777777" w:rsidR="006C1AF3" w:rsidRDefault="004B2385">
      <w:pPr>
        <w:pBdr>
          <w:top w:val="none" w:sz="0" w:space="28" w:color="auto"/>
        </w:pBdr>
        <w:spacing w:line="388" w:lineRule="auto"/>
        <w:jc w:val="both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22"/>
        </w:rPr>
        <w:t>——</w:t>
      </w:r>
      <w:r>
        <w:rPr>
          <w:rFonts w:ascii="微软雅黑" w:eastAsia="微软雅黑" w:hAnsi="微软雅黑" w:cs="微软雅黑" w:hint="eastAsia"/>
          <w:color w:val="5C6B7A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5C6B7A"/>
          <w:sz w:val="22"/>
        </w:rPr>
        <w:t>基于</w:t>
      </w:r>
      <w:r>
        <w:rPr>
          <w:rFonts w:ascii="微软雅黑" w:eastAsia="微软雅黑" w:hAnsi="微软雅黑" w:cs="微软雅黑" w:hint="eastAsia"/>
          <w:color w:val="5C6B7A"/>
          <w:sz w:val="22"/>
        </w:rPr>
        <w:t xml:space="preserve"> 2026 OCP Global Summit </w:t>
      </w:r>
      <w:r>
        <w:rPr>
          <w:rFonts w:ascii="微软雅黑" w:eastAsia="微软雅黑" w:hAnsi="微软雅黑" w:cs="微软雅黑" w:hint="eastAsia"/>
          <w:color w:val="5C6B7A"/>
          <w:sz w:val="22"/>
        </w:rPr>
        <w:t>技术总结报告第</w:t>
      </w:r>
      <w:r>
        <w:rPr>
          <w:rFonts w:ascii="微软雅黑" w:eastAsia="微软雅黑" w:hAnsi="微软雅黑" w:cs="微软雅黑" w:hint="eastAsia"/>
          <w:color w:val="5C6B7A"/>
          <w:sz w:val="22"/>
        </w:rPr>
        <w:t xml:space="preserve"> 1.3 </w:t>
      </w:r>
      <w:r>
        <w:rPr>
          <w:rFonts w:ascii="微软雅黑" w:eastAsia="微软雅黑" w:hAnsi="微软雅黑" w:cs="微软雅黑" w:hint="eastAsia"/>
          <w:color w:val="5C6B7A"/>
          <w:sz w:val="22"/>
        </w:rPr>
        <w:t>节评估框架</w:t>
      </w:r>
    </w:p>
    <w:tbl>
      <w:tblPr>
        <w:tblW w:w="8306" w:type="dxa"/>
        <w:tblInd w:w="12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6479"/>
      </w:tblGrid>
      <w:tr w:rsidR="006C1AF3" w14:paraId="21E25B1E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B7027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t>分析对象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A606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原文评估表中「可制造性」一行的三项证据要求与一项典型误区</w:t>
            </w:r>
          </w:p>
        </w:tc>
      </w:tr>
      <w:tr w:rsidR="006C1AF3" w14:paraId="180B7596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E4AB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t>原文表述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6216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可制造性　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|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　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L10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至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L12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测试　覆盖率　线缆与液路验证　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|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　样机可运行即视为可量产</w:t>
            </w:r>
          </w:p>
        </w:tc>
      </w:tr>
      <w:tr w:rsidR="006C1AF3" w14:paraId="047FA630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ABD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t>主要信源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E773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OCP 2026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官方议程与演示材料；《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From Tray to Training Job: L10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–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L12 Manufacturing Test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》（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Cisco / Supermicro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）；《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Open Rack Wide (ORW): Progress, Validation, and What's Next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》（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Meta / Rittal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）；《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CTAM: Three Years of Bridging Hyperscalers and Suppliers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》；《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AI-Native Hardware Validation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》（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Microsoft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）；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2026 OCP China Day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相关议题</w:t>
            </w:r>
          </w:p>
        </w:tc>
      </w:tr>
      <w:tr w:rsidR="006C1AF3" w14:paraId="19A71688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73DE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t>证据分级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F99AC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沿用原报告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A/B/C/D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四级；本文所有推算性结论均标注为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C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级</w:t>
            </w:r>
          </w:p>
        </w:tc>
      </w:tr>
      <w:tr w:rsidR="006C1AF3" w14:paraId="03FE5AE3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817F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t>适用对象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CB0F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AI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加速卡模组、计算节点、机柜级系统研发管理与质量、制造测试团队</w:t>
            </w:r>
          </w:p>
        </w:tc>
      </w:tr>
    </w:tbl>
    <w:p w14:paraId="4FF177CD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t>摘要：这条评估条目的真实分量</w:t>
      </w:r>
    </w:p>
    <w:p w14:paraId="7D8DDC4B" w14:textId="77777777" w:rsidR="006C1AF3" w:rsidRDefault="004B2385">
      <w:pPr>
        <w:spacing w:line="388" w:lineRule="auto"/>
        <w:jc w:val="both"/>
        <w:rPr>
          <w:color w:val="33475B"/>
        </w:rPr>
      </w:pPr>
      <w:r>
        <w:rPr>
          <w:rFonts w:ascii="微软雅黑" w:eastAsia="微软雅黑" w:hAnsi="微软雅黑" w:cs="微软雅黑" w:hint="eastAsia"/>
          <w:color w:val="33475B"/>
          <w:sz w:val="22"/>
        </w:rPr>
        <w:t>原文第</w:t>
      </w:r>
      <w:r>
        <w:rPr>
          <w:rFonts w:ascii="微软雅黑" w:eastAsia="微软雅黑" w:hAnsi="微软雅黑" w:cs="微软雅黑" w:hint="eastAsia"/>
          <w:color w:val="33475B"/>
          <w:sz w:val="22"/>
        </w:rPr>
        <w:t xml:space="preserve"> 1.3 </w:t>
      </w:r>
      <w:r>
        <w:rPr>
          <w:rFonts w:ascii="微软雅黑" w:eastAsia="微软雅黑" w:hAnsi="微软雅黑" w:cs="微软雅黑" w:hint="eastAsia"/>
          <w:color w:val="33475B"/>
          <w:sz w:val="22"/>
        </w:rPr>
        <w:t>节的六维评估表中，「可制造性」一行只有十九个字。但它承担了整份报告中最关键的一次概念切割：把「做出来了」与「能重复做出来」彻底分开。这不是一条技术条目，而是一条管理判据。</w:t>
      </w:r>
    </w:p>
    <w:p w14:paraId="46492DDE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对这条目做完整拆解后，可以给出三个结论。</w:t>
      </w:r>
    </w:p>
    <w:p w14:paraId="00718AF9" w14:textId="77777777" w:rsidR="006C1AF3" w:rsidRDefault="004B2385">
      <w:pPr>
        <w:pBdr>
          <w:left w:val="single" w:sz="24" w:space="0" w:color="1F4E79"/>
        </w:pBdr>
        <w:shd w:val="clear" w:color="auto" w:fill="F4F7FA"/>
        <w:spacing w:before="200" w:after="200" w:line="388" w:lineRule="auto"/>
        <w:ind w:left="200" w:right="200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结论一：</w:t>
      </w:r>
      <w:r>
        <w:rPr>
          <w:rFonts w:ascii="微软雅黑" w:eastAsia="微软雅黑" w:hAnsi="微软雅黑" w:cs="微软雅黑" w:hint="eastAsia"/>
          <w:b/>
          <w:color w:val="1F4E79"/>
        </w:rPr>
        <w:t>L10</w:t>
      </w:r>
      <w:r>
        <w:rPr>
          <w:rFonts w:ascii="微软雅黑" w:eastAsia="微软雅黑" w:hAnsi="微软雅黑" w:cs="微软雅黑" w:hint="eastAsia"/>
          <w:b/>
          <w:color w:val="1F4E79"/>
        </w:rPr>
        <w:t>–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L12 </w:t>
      </w:r>
      <w:r>
        <w:rPr>
          <w:rFonts w:ascii="微软雅黑" w:eastAsia="微软雅黑" w:hAnsi="微软雅黑" w:cs="微软雅黑" w:hint="eastAsia"/>
          <w:b/>
          <w:color w:val="1F4E79"/>
        </w:rPr>
        <w:t>不是「三级测试」，而是三份互不替代的证明。</w:t>
      </w:r>
      <w:r>
        <w:rPr>
          <w:rFonts w:ascii="微软雅黑" w:eastAsia="微软雅黑" w:hAnsi="微软雅黑" w:cs="微软雅黑" w:hint="eastAsia"/>
          <w:color w:val="1A2733"/>
        </w:rPr>
        <w:t xml:space="preserve">L10 </w:t>
      </w:r>
      <w:r>
        <w:rPr>
          <w:rFonts w:ascii="微软雅黑" w:eastAsia="微软雅黑" w:hAnsi="微软雅黑" w:cs="微软雅黑" w:hint="eastAsia"/>
          <w:color w:val="1A2733"/>
        </w:rPr>
        <w:t>证明一台托盘是已知的、可启动的、驱动就绪的；</w:t>
      </w:r>
      <w:r>
        <w:rPr>
          <w:rFonts w:ascii="微软雅黑" w:eastAsia="微软雅黑" w:hAnsi="微软雅黑" w:cs="微软雅黑" w:hint="eastAsia"/>
          <w:color w:val="1A2733"/>
        </w:rPr>
        <w:t xml:space="preserve">L11 </w:t>
      </w:r>
      <w:r>
        <w:rPr>
          <w:rFonts w:ascii="微软雅黑" w:eastAsia="微软雅黑" w:hAnsi="微软雅黑" w:cs="微软雅黑" w:hint="eastAsia"/>
          <w:color w:val="1A2733"/>
        </w:rPr>
        <w:t>证明一台机柜在物理、管理、供电、冷却与</w:t>
      </w:r>
      <w:r>
        <w:rPr>
          <w:rFonts w:ascii="微软雅黑" w:eastAsia="微软雅黑" w:hAnsi="微软雅黑" w:cs="微软雅黑" w:hint="eastAsia"/>
          <w:color w:val="1A2733"/>
        </w:rPr>
        <w:t xml:space="preserve"> NVLink </w:t>
      </w:r>
      <w:r>
        <w:rPr>
          <w:rFonts w:ascii="微软雅黑" w:eastAsia="微软雅黑" w:hAnsi="微软雅黑" w:cs="微软雅黑" w:hint="eastAsia"/>
          <w:color w:val="1A2733"/>
        </w:rPr>
        <w:t>域五个层面同时成立；</w:t>
      </w:r>
      <w:r>
        <w:rPr>
          <w:rFonts w:ascii="微软雅黑" w:eastAsia="微软雅黑" w:hAnsi="微软雅黑" w:cs="微软雅黑" w:hint="eastAsia"/>
          <w:color w:val="1A2733"/>
        </w:rPr>
        <w:t xml:space="preserve">L12 </w:t>
      </w:r>
      <w:r>
        <w:rPr>
          <w:rFonts w:ascii="微软雅黑" w:eastAsia="微软雅黑" w:hAnsi="微软雅黑" w:cs="微软雅黑" w:hint="eastAsia"/>
          <w:color w:val="1A2733"/>
        </w:rPr>
        <w:t>证明一个集群能够置备、通信、观测并跑完一次训练金丝雀。三者之间不是「更严格」的关系，而是「回答不同问题」的关系。任何一级缺失，都会在下游形成无法用其他级别补偿的证据空洞。</w:t>
      </w:r>
    </w:p>
    <w:p w14:paraId="1EED2676" w14:textId="77777777" w:rsidR="006C1AF3" w:rsidRDefault="004B2385">
      <w:pPr>
        <w:pBdr>
          <w:left w:val="single" w:sz="24" w:space="0" w:color="1F4E79"/>
        </w:pBdr>
        <w:shd w:val="clear" w:color="auto" w:fill="F4F7FA"/>
        <w:spacing w:before="200" w:after="200" w:line="388" w:lineRule="auto"/>
        <w:ind w:left="200" w:right="200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lastRenderedPageBreak/>
        <w:t>结论二：「覆盖率」是这条目里唯一没有定义、却最容易被滥用的词。</w:t>
      </w:r>
      <w:r>
        <w:rPr>
          <w:rFonts w:ascii="微软雅黑" w:eastAsia="微软雅黑" w:hAnsi="微软雅黑" w:cs="微软雅黑" w:hint="eastAsia"/>
          <w:color w:val="1A2733"/>
        </w:rPr>
        <w:t>单一百分比无法承载可制造性判断，因为它同时混合了四个分母完全不同的对象：需求条款、拓扑节点、工况组合、故障模式。合理做法是分层度量并加权合成，且必须把「故障模式覆盖」的权重设为最高——因为只有这一层与最终逃逸率直接对应。</w:t>
      </w:r>
    </w:p>
    <w:p w14:paraId="0AE93298" w14:textId="77777777" w:rsidR="006C1AF3" w:rsidRDefault="004B2385">
      <w:pPr>
        <w:pBdr>
          <w:left w:val="single" w:sz="24" w:space="0" w:color="1F4E79"/>
        </w:pBdr>
        <w:shd w:val="clear" w:color="auto" w:fill="F4F7FA"/>
        <w:spacing w:before="200" w:after="200" w:line="388" w:lineRule="auto"/>
        <w:ind w:left="200" w:right="200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结论三：「样机可运行即视为可量产」的错误不在于乐观，而在于用存在性证明替代了分布性证明。</w:t>
      </w:r>
      <w:r>
        <w:rPr>
          <w:rFonts w:ascii="微软雅黑" w:eastAsia="微软雅黑" w:hAnsi="微软雅黑" w:cs="微软雅黑" w:hint="eastAsia"/>
          <w:color w:val="1A2733"/>
        </w:rPr>
        <w:t>样机证明的是「存在一种配置可以工作」（</w:t>
      </w:r>
      <w:r>
        <w:rPr>
          <w:rFonts w:ascii="微软雅黑" w:eastAsia="微软雅黑" w:hAnsi="微软雅黑" w:cs="微软雅黑" w:hint="eastAsia"/>
          <w:color w:val="1A2733"/>
        </w:rPr>
        <w:t>n=1</w:t>
      </w:r>
      <w:r>
        <w:rPr>
          <w:rFonts w:ascii="微软雅黑" w:eastAsia="微软雅黑" w:hAnsi="微软雅黑" w:cs="微软雅黑" w:hint="eastAsia"/>
          <w:color w:val="1A2733"/>
        </w:rPr>
        <w:t>）；量产要求的是「在给定工艺、工装、人员与物料波动下，绝大多数配置都能工作」（</w:t>
      </w:r>
      <w:r>
        <w:rPr>
          <w:rFonts w:ascii="微软雅黑" w:eastAsia="微软雅黑" w:hAnsi="微软雅黑" w:cs="微软雅黑" w:hint="eastAsia"/>
          <w:color w:val="1A2733"/>
        </w:rPr>
        <w:t xml:space="preserve">n </w:t>
      </w:r>
      <w:r>
        <w:rPr>
          <w:rFonts w:ascii="微软雅黑" w:eastAsia="微软雅黑" w:hAnsi="微软雅黑" w:cs="微软雅黑" w:hint="eastAsia"/>
          <w:color w:val="1A2733"/>
        </w:rPr>
        <w:t>大、分布可控）。这两者之间隔着</w:t>
      </w:r>
      <w:r>
        <w:rPr>
          <w:rFonts w:ascii="微软雅黑" w:eastAsia="微软雅黑" w:hAnsi="微软雅黑" w:cs="微软雅黑" w:hint="eastAsia"/>
          <w:color w:val="1A2733"/>
        </w:rPr>
        <w:t xml:space="preserve"> DVT</w:t>
      </w:r>
      <w:r>
        <w:rPr>
          <w:rFonts w:ascii="微软雅黑" w:eastAsia="微软雅黑" w:hAnsi="微软雅黑" w:cs="微软雅黑" w:hint="eastAsia"/>
          <w:color w:val="1A2733"/>
        </w:rPr>
        <w:t>、</w:t>
      </w:r>
      <w:r>
        <w:rPr>
          <w:rFonts w:ascii="微软雅黑" w:eastAsia="微软雅黑" w:hAnsi="微软雅黑" w:cs="微软雅黑" w:hint="eastAsia"/>
          <w:color w:val="1A2733"/>
        </w:rPr>
        <w:t xml:space="preserve">PVT </w:t>
      </w:r>
      <w:r>
        <w:rPr>
          <w:rFonts w:ascii="微软雅黑" w:eastAsia="微软雅黑" w:hAnsi="微软雅黑" w:cs="微软雅黑" w:hint="eastAsia"/>
          <w:color w:val="1A2733"/>
        </w:rPr>
        <w:t>两道完整的工程阶段，在</w:t>
      </w:r>
      <w:r>
        <w:rPr>
          <w:rFonts w:ascii="微软雅黑" w:eastAsia="微软雅黑" w:hAnsi="微软雅黑" w:cs="微软雅黑" w:hint="eastAsia"/>
          <w:color w:val="1A2733"/>
        </w:rPr>
        <w:t xml:space="preserve"> ORW </w:t>
      </w:r>
      <w:r>
        <w:rPr>
          <w:rFonts w:ascii="微软雅黑" w:eastAsia="微软雅黑" w:hAnsi="微软雅黑" w:cs="微软雅黑" w:hint="eastAsia"/>
          <w:color w:val="1A2733"/>
        </w:rPr>
        <w:t>机柜的实际案例中，这段距离约为十三个月。</w:t>
      </w:r>
    </w:p>
    <w:p w14:paraId="2F46B943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以下正文按「这条目在原文中的位置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→</w:t>
      </w:r>
      <w:r>
        <w:rPr>
          <w:rFonts w:ascii="微软雅黑" w:eastAsia="微软雅黑" w:hAnsi="微软雅黑" w:cs="微软雅黑" w:hint="eastAsia"/>
          <w:color w:val="1A2733"/>
        </w:rPr>
        <w:t xml:space="preserve"> L10</w:t>
      </w:r>
      <w:r>
        <w:rPr>
          <w:rFonts w:ascii="微软雅黑" w:eastAsia="微软雅黑" w:hAnsi="微软雅黑" w:cs="微软雅黑" w:hint="eastAsia"/>
          <w:color w:val="1A2733"/>
        </w:rPr>
        <w:t>–</w:t>
      </w:r>
      <w:r>
        <w:rPr>
          <w:rFonts w:ascii="微软雅黑" w:eastAsia="微软雅黑" w:hAnsi="微软雅黑" w:cs="微软雅黑" w:hint="eastAsia"/>
          <w:color w:val="1A2733"/>
        </w:rPr>
        <w:t xml:space="preserve">L12 </w:t>
      </w:r>
      <w:r>
        <w:rPr>
          <w:rFonts w:ascii="微软雅黑" w:eastAsia="微软雅黑" w:hAnsi="微软雅黑" w:cs="微软雅黑" w:hint="eastAsia"/>
          <w:color w:val="1A2733"/>
        </w:rPr>
        <w:t>的证明边界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→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覆盖率如何度量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→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线缆为何单列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→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液路为何最难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→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误区解剖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→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如何变成管理工具」的顺序展开。</w:t>
      </w:r>
    </w:p>
    <w:p w14:paraId="473E1ED6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t>一、这条评估条目在原文中的位置与结构</w:t>
      </w:r>
    </w:p>
    <w:p w14:paraId="3531D19F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1.1 </w:t>
      </w:r>
      <w:r>
        <w:rPr>
          <w:rFonts w:ascii="微软雅黑" w:eastAsia="微软雅黑" w:hAnsi="微软雅黑" w:cs="微软雅黑" w:hint="eastAsia"/>
          <w:color w:val="1F4E79"/>
        </w:rPr>
        <w:t>原文语境</w:t>
      </w:r>
    </w:p>
    <w:p w14:paraId="534382B3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原报告第</w:t>
      </w:r>
      <w:r>
        <w:rPr>
          <w:rFonts w:ascii="微软雅黑" w:eastAsia="微软雅黑" w:hAnsi="微软雅黑" w:cs="微软雅黑" w:hint="eastAsia"/>
          <w:color w:val="1A2733"/>
        </w:rPr>
        <w:t xml:space="preserve"> 1.3 </w:t>
      </w:r>
      <w:r>
        <w:rPr>
          <w:rFonts w:ascii="微软雅黑" w:eastAsia="微软雅黑" w:hAnsi="微软雅黑" w:cs="微软雅黑" w:hint="eastAsia"/>
          <w:color w:val="1A2733"/>
        </w:rPr>
        <w:t>节提出用三个问题审视每一项峰会技术：它是否消除了一个跨厂商接口的不确定性；它是否已有可重复的工程证据；它是否改善</w:t>
      </w:r>
      <w:r>
        <w:rPr>
          <w:rFonts w:ascii="微软雅黑" w:eastAsia="微软雅黑" w:hAnsi="微软雅黑" w:cs="微软雅黑" w:hint="eastAsia"/>
          <w:color w:val="1A2733"/>
        </w:rPr>
        <w:t xml:space="preserve"> tokens per watt</w:t>
      </w:r>
      <w:r>
        <w:rPr>
          <w:rFonts w:ascii="微软雅黑" w:eastAsia="微软雅黑" w:hAnsi="微软雅黑" w:cs="微软雅黑" w:hint="eastAsia"/>
          <w:color w:val="1A2733"/>
        </w:rPr>
        <w:t>、</w:t>
      </w:r>
      <w:r>
        <w:rPr>
          <w:rFonts w:ascii="微软雅黑" w:eastAsia="微软雅黑" w:hAnsi="微软雅黑" w:cs="微软雅黑" w:hint="eastAsia"/>
          <w:color w:val="1A2733"/>
        </w:rPr>
        <w:t>tokens per dollar</w:t>
      </w:r>
      <w:r>
        <w:rPr>
          <w:rFonts w:ascii="微软雅黑" w:eastAsia="微软雅黑" w:hAnsi="微软雅黑" w:cs="微软雅黑" w:hint="eastAsia"/>
          <w:color w:val="1A2733"/>
        </w:rPr>
        <w:t>、部署周期或现场可用性中的至少一个指标。随后给出六维评估表，要求对每个维度提出对应的证据要求，并列出典型误区。</w:t>
      </w:r>
    </w:p>
    <w:p w14:paraId="5FF9E0DF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六维分别是性能、功耗、可靠性、可制造性、可维护性、生态成熟度。其中五维的证据都可以在实验室或文档中取得，唯独可制造性的证据只能在「从样机走向量产」的过程中产生。这正是它在表格中被单独点名「样机可运行即视为可量产」的原因。</w:t>
      </w:r>
    </w:p>
    <w:p w14:paraId="1034AEAB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1.2 </w:t>
      </w:r>
      <w:r>
        <w:rPr>
          <w:rFonts w:ascii="微软雅黑" w:eastAsia="微软雅黑" w:hAnsi="微软雅黑" w:cs="微软雅黑" w:hint="eastAsia"/>
          <w:color w:val="1F4E79"/>
        </w:rPr>
        <w:t>三段式结构拆解</w:t>
      </w:r>
    </w:p>
    <w:p w14:paraId="501D9FED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这一行的内容可以拆成三个功能不同的部分：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491"/>
        <w:gridCol w:w="4487"/>
      </w:tblGrid>
      <w:tr w:rsidR="006C1AF3" w14:paraId="79A8E791" w14:textId="77777777">
        <w:trPr>
          <w:cantSplit/>
          <w:tblHeader/>
        </w:trPr>
        <w:tc>
          <w:tcPr>
            <w:tcW w:w="132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8D1DB8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成分</w:t>
            </w:r>
          </w:p>
        </w:tc>
        <w:tc>
          <w:tcPr>
            <w:tcW w:w="249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B9CE6C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原文</w:t>
            </w:r>
          </w:p>
        </w:tc>
        <w:tc>
          <w:tcPr>
            <w:tcW w:w="448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30D003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它实际在要求什么</w:t>
            </w:r>
          </w:p>
        </w:tc>
      </w:tr>
      <w:tr w:rsidR="006C1AF3" w14:paraId="760BE566" w14:textId="77777777">
        <w:trPr>
          <w:cantSplit/>
        </w:trPr>
        <w:tc>
          <w:tcPr>
            <w:tcW w:w="132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895C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lastRenderedPageBreak/>
              <w:t>证据类型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67637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L10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至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L12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测试</w:t>
            </w:r>
          </w:p>
        </w:tc>
        <w:tc>
          <w:tcPr>
            <w:tcW w:w="448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1F90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要求证据必须来自集成层级的三级验收，而不是器件规格书、仿真报告或单点演示。这一条实际上规定了「证据的出处」，排除了所有非制造现场产生的材料。</w:t>
            </w:r>
          </w:p>
        </w:tc>
      </w:tr>
      <w:tr w:rsidR="006C1AF3" w14:paraId="0FEBFD8C" w14:textId="77777777">
        <w:trPr>
          <w:cantSplit/>
        </w:trPr>
        <w:tc>
          <w:tcPr>
            <w:tcW w:w="132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C620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t>度量对象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A916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覆盖率、线缆与液路验证</w:t>
            </w:r>
          </w:p>
        </w:tc>
        <w:tc>
          <w:tcPr>
            <w:tcW w:w="448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9AA0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「覆盖率」要求证据必须是完备的、可计量的，而不是「测过了几项」。「线缆与液路」是两个被点名的具体对象——它们是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AI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机柜中失效最集中、最难在单板阶段暴露、且最容易被「样机跑通」掩盖的两个物理面。</w:t>
            </w:r>
          </w:p>
        </w:tc>
      </w:tr>
      <w:tr w:rsidR="006C1AF3" w14:paraId="3D0DF357" w14:textId="77777777">
        <w:trPr>
          <w:cantSplit/>
        </w:trPr>
        <w:tc>
          <w:tcPr>
            <w:tcW w:w="132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AB02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t>典型误区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4051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样机可运行即视为可量产</w:t>
            </w:r>
          </w:p>
        </w:tc>
        <w:tc>
          <w:tcPr>
            <w:tcW w:w="448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4C74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这不是一句提醒，而是一个否定式判据：任何以「样机已跑通」为主张的量产承诺，在评估上应直接判定为不成立。它把「证据不足」从「可以商量」变成了「不予采信」。</w:t>
            </w:r>
          </w:p>
        </w:tc>
      </w:tr>
    </w:tbl>
    <w:p w14:paraId="5B3D36CE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表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1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「可制造性」评估条目的三段式结构</w:t>
      </w:r>
    </w:p>
    <w:p w14:paraId="566C73BF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1.3 </w:t>
      </w:r>
      <w:r>
        <w:rPr>
          <w:rFonts w:ascii="微软雅黑" w:eastAsia="微软雅黑" w:hAnsi="微软雅黑" w:cs="微软雅黑" w:hint="eastAsia"/>
          <w:color w:val="1F4E79"/>
        </w:rPr>
        <w:t>为什么它是六维中唯一横跨设计—制造的维度</w:t>
      </w:r>
    </w:p>
    <w:p w14:paraId="19A14A58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把六个维度按「证据产生于产品生命周期的哪个阶段」重新排列，会看到一个结构性事实：性能、功耗、生态成熟度的强证据集中在设计与选型阶段；可靠性与可维护性的强证据集中在样机与运营阶段；而可制造性的强证据只存在于「样机之后、量产之前」这一段狭窄区间，并且在设计与运营两端都最弱。</w:t>
      </w:r>
    </w:p>
    <w:p w14:paraId="5BADD148" w14:textId="77777777" w:rsidR="006C1AF3" w:rsidRDefault="004B2385">
      <w:pPr>
        <w:spacing w:before="240" w:after="240" w:line="388" w:lineRule="auto"/>
        <w:ind w:left="240" w:right="240"/>
        <w:jc w:val="center"/>
        <w:rPr>
          <w:color w:val="1A2733"/>
        </w:rPr>
      </w:pPr>
      <w:r>
        <w:rPr>
          <w:noProof/>
        </w:rPr>
        <w:drawing>
          <wp:inline distT="0" distB="0" distL="0" distR="0" wp14:anchorId="0A127172" wp14:editId="0096E900">
            <wp:extent cx="5274310" cy="29667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A3A7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图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1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六个评估维度与研发阶段的证据分布矩阵</w:t>
      </w:r>
    </w:p>
    <w:p w14:paraId="358D181B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lastRenderedPageBreak/>
        <w:t>这个分布解释了为什么可制造性最容易在评审中被「打折」：它既没有设计阶段的规格条款可以对照，也没有运营阶段的历史数据可以回溯。当评审要求提供证据时，团队手上最现成的材料就是「样机已经跑起来了」——而这恰好是原文明确点名不予采信的那一类。</w:t>
      </w:r>
    </w:p>
    <w:p w14:paraId="00E2A6DE" w14:textId="77777777" w:rsidR="006C1AF3" w:rsidRDefault="004B2385">
      <w:pPr>
        <w:pBdr>
          <w:left w:val="single" w:sz="24" w:space="0" w:color="B8791F"/>
        </w:pBdr>
        <w:shd w:val="clear" w:color="auto" w:fill="FBF3E4"/>
        <w:spacing w:before="200" w:after="200" w:line="388" w:lineRule="auto"/>
        <w:ind w:left="200" w:right="200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管理含义：</w:t>
      </w:r>
      <w:r>
        <w:rPr>
          <w:rFonts w:ascii="微软雅黑" w:eastAsia="微软雅黑" w:hAnsi="微软雅黑" w:cs="微软雅黑" w:hint="eastAsia"/>
          <w:color w:val="1A2733"/>
        </w:rPr>
        <w:t>可制造性不能靠评审会上的口头陈述来确认，只能靠预先定义的证据清单来核验。凡是没有进入清单的证据，在评审中等同于不存在。</w:t>
      </w:r>
    </w:p>
    <w:p w14:paraId="12284B13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t>二、</w:t>
      </w:r>
      <w:r>
        <w:rPr>
          <w:rFonts w:ascii="微软雅黑" w:eastAsia="微软雅黑" w:hAnsi="微软雅黑" w:cs="微软雅黑" w:hint="eastAsia"/>
          <w:color w:val="1F4E79"/>
          <w:sz w:val="30"/>
        </w:rPr>
        <w:t>L10</w:t>
      </w:r>
      <w:r>
        <w:rPr>
          <w:rFonts w:ascii="微软雅黑" w:eastAsia="微软雅黑" w:hAnsi="微软雅黑" w:cs="微软雅黑" w:hint="eastAsia"/>
          <w:color w:val="1F4E79"/>
          <w:sz w:val="30"/>
        </w:rPr>
        <w:t>–</w:t>
      </w:r>
      <w:r>
        <w:rPr>
          <w:rFonts w:ascii="微软雅黑" w:eastAsia="微软雅黑" w:hAnsi="微软雅黑" w:cs="微软雅黑" w:hint="eastAsia"/>
          <w:color w:val="1F4E79"/>
          <w:sz w:val="30"/>
        </w:rPr>
        <w:t>L12</w:t>
      </w:r>
      <w:r>
        <w:rPr>
          <w:rFonts w:ascii="微软雅黑" w:eastAsia="微软雅黑" w:hAnsi="微软雅黑" w:cs="微软雅黑" w:hint="eastAsia"/>
          <w:color w:val="1F4E79"/>
          <w:sz w:val="30"/>
        </w:rPr>
        <w:t>：三级验收的证明边界</w:t>
      </w:r>
    </w:p>
    <w:p w14:paraId="2ED4C2C4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2.1 </w:t>
      </w:r>
      <w:r>
        <w:rPr>
          <w:rFonts w:ascii="微软雅黑" w:eastAsia="微软雅黑" w:hAnsi="微软雅黑" w:cs="微软雅黑" w:hint="eastAsia"/>
          <w:color w:val="1F4E79"/>
        </w:rPr>
        <w:t>制造分级全景</w:t>
      </w:r>
    </w:p>
    <w:p w14:paraId="33409449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L1</w:t>
      </w:r>
      <w:r>
        <w:rPr>
          <w:rFonts w:ascii="微软雅黑" w:eastAsia="微软雅黑" w:hAnsi="微软雅黑" w:cs="微软雅黑" w:hint="eastAsia"/>
          <w:color w:val="1A2733"/>
        </w:rPr>
        <w:t>–</w:t>
      </w:r>
      <w:r>
        <w:rPr>
          <w:rFonts w:ascii="微软雅黑" w:eastAsia="微软雅黑" w:hAnsi="微软雅黑" w:cs="微软雅黑" w:hint="eastAsia"/>
          <w:color w:val="1A2733"/>
        </w:rPr>
        <w:t xml:space="preserve">L12 </w:t>
      </w:r>
      <w:r>
        <w:rPr>
          <w:rFonts w:ascii="微软雅黑" w:eastAsia="微软雅黑" w:hAnsi="微软雅黑" w:cs="微软雅黑" w:hint="eastAsia"/>
          <w:color w:val="1A2733"/>
        </w:rPr>
        <w:t>是服务器与机柜制造业通用的装配层级划分，不同</w:t>
      </w:r>
      <w:r>
        <w:rPr>
          <w:rFonts w:ascii="微软雅黑" w:eastAsia="微软雅黑" w:hAnsi="微软雅黑" w:cs="微软雅黑" w:hint="eastAsia"/>
          <w:color w:val="1A2733"/>
        </w:rPr>
        <w:t xml:space="preserve"> ODM/OEM </w:t>
      </w:r>
      <w:r>
        <w:rPr>
          <w:rFonts w:ascii="微软雅黑" w:eastAsia="微软雅黑" w:hAnsi="微软雅黑" w:cs="微软雅黑" w:hint="eastAsia"/>
          <w:color w:val="1A2733"/>
        </w:rPr>
        <w:t>的具体定义存在差异，但骨架一致：</w:t>
      </w:r>
      <w:r>
        <w:rPr>
          <w:rFonts w:ascii="微软雅黑" w:eastAsia="微软雅黑" w:hAnsi="微软雅黑" w:cs="微软雅黑" w:hint="eastAsia"/>
          <w:color w:val="1A2733"/>
        </w:rPr>
        <w:t>L1</w:t>
      </w:r>
      <w:r>
        <w:rPr>
          <w:rFonts w:ascii="微软雅黑" w:eastAsia="微软雅黑" w:hAnsi="微软雅黑" w:cs="微软雅黑" w:hint="eastAsia"/>
          <w:color w:val="1A2733"/>
        </w:rPr>
        <w:t>–</w:t>
      </w:r>
      <w:r>
        <w:rPr>
          <w:rFonts w:ascii="微软雅黑" w:eastAsia="微软雅黑" w:hAnsi="微软雅黑" w:cs="微软雅黑" w:hint="eastAsia"/>
          <w:color w:val="1A2733"/>
        </w:rPr>
        <w:t xml:space="preserve">L4 </w:t>
      </w:r>
      <w:r>
        <w:rPr>
          <w:rFonts w:ascii="微软雅黑" w:eastAsia="微软雅黑" w:hAnsi="微软雅黑" w:cs="微软雅黑" w:hint="eastAsia"/>
          <w:color w:val="1A2733"/>
        </w:rPr>
        <w:t>为零部件与子组件制造，</w:t>
      </w:r>
      <w:r>
        <w:rPr>
          <w:rFonts w:ascii="微软雅黑" w:eastAsia="微软雅黑" w:hAnsi="微软雅黑" w:cs="微软雅黑" w:hint="eastAsia"/>
          <w:color w:val="1A2733"/>
        </w:rPr>
        <w:t>L5</w:t>
      </w:r>
      <w:r>
        <w:rPr>
          <w:rFonts w:ascii="微软雅黑" w:eastAsia="微软雅黑" w:hAnsi="微软雅黑" w:cs="微软雅黑" w:hint="eastAsia"/>
          <w:color w:val="1A2733"/>
        </w:rPr>
        <w:t>–</w:t>
      </w:r>
      <w:r>
        <w:rPr>
          <w:rFonts w:ascii="微软雅黑" w:eastAsia="微软雅黑" w:hAnsi="微软雅黑" w:cs="微软雅黑" w:hint="eastAsia"/>
          <w:color w:val="1A2733"/>
        </w:rPr>
        <w:t xml:space="preserve">L9 </w:t>
      </w:r>
      <w:r>
        <w:rPr>
          <w:rFonts w:ascii="微软雅黑" w:eastAsia="微软雅黑" w:hAnsi="微软雅黑" w:cs="微软雅黑" w:hint="eastAsia"/>
          <w:color w:val="1A2733"/>
        </w:rPr>
        <w:t>为准系统集成与单机测试，</w:t>
      </w:r>
      <w:r>
        <w:rPr>
          <w:rFonts w:ascii="微软雅黑" w:eastAsia="微软雅黑" w:hAnsi="微软雅黑" w:cs="微软雅黑" w:hint="eastAsia"/>
          <w:color w:val="1A2733"/>
        </w:rPr>
        <w:t>L10</w:t>
      </w:r>
      <w:r>
        <w:rPr>
          <w:rFonts w:ascii="微软雅黑" w:eastAsia="微软雅黑" w:hAnsi="微软雅黑" w:cs="微软雅黑" w:hint="eastAsia"/>
          <w:color w:val="1A2733"/>
        </w:rPr>
        <w:t>–</w:t>
      </w:r>
      <w:r>
        <w:rPr>
          <w:rFonts w:ascii="微软雅黑" w:eastAsia="微软雅黑" w:hAnsi="微软雅黑" w:cs="微软雅黑" w:hint="eastAsia"/>
          <w:color w:val="1A2733"/>
        </w:rPr>
        <w:t xml:space="preserve">L12 </w:t>
      </w:r>
      <w:r>
        <w:rPr>
          <w:rFonts w:ascii="微软雅黑" w:eastAsia="微软雅黑" w:hAnsi="微软雅黑" w:cs="微软雅黑" w:hint="eastAsia"/>
          <w:color w:val="1A2733"/>
        </w:rPr>
        <w:t>为整机、机柜与集群级交付。</w:t>
      </w:r>
      <w:r>
        <w:rPr>
          <w:rFonts w:ascii="微软雅黑" w:eastAsia="微软雅黑" w:hAnsi="微软雅黑" w:cs="微软雅黑" w:hint="eastAsia"/>
          <w:color w:val="1A2733"/>
        </w:rPr>
        <w:t xml:space="preserve">OCP 2026 </w:t>
      </w:r>
      <w:r>
        <w:rPr>
          <w:rFonts w:ascii="微软雅黑" w:eastAsia="微软雅黑" w:hAnsi="微软雅黑" w:cs="微软雅黑" w:hint="eastAsia"/>
          <w:color w:val="1A2733"/>
        </w:rPr>
        <w:t>的</w:t>
      </w:r>
      <w:r>
        <w:rPr>
          <w:rFonts w:ascii="微软雅黑" w:eastAsia="微软雅黑" w:hAnsi="微软雅黑" w:cs="微软雅黑" w:hint="eastAsia"/>
          <w:color w:val="1A2733"/>
        </w:rPr>
        <w:t xml:space="preserve"> L10</w:t>
      </w:r>
      <w:r>
        <w:rPr>
          <w:rFonts w:ascii="微软雅黑" w:eastAsia="微软雅黑" w:hAnsi="微软雅黑" w:cs="微软雅黑" w:hint="eastAsia"/>
          <w:color w:val="1A2733"/>
        </w:rPr>
        <w:t>–</w:t>
      </w:r>
      <w:r>
        <w:rPr>
          <w:rFonts w:ascii="微软雅黑" w:eastAsia="微软雅黑" w:hAnsi="微软雅黑" w:cs="微软雅黑" w:hint="eastAsia"/>
          <w:color w:val="1A2733"/>
        </w:rPr>
        <w:t xml:space="preserve">L12 </w:t>
      </w:r>
      <w:r>
        <w:rPr>
          <w:rFonts w:ascii="微软雅黑" w:eastAsia="微软雅黑" w:hAnsi="微软雅黑" w:cs="微软雅黑" w:hint="eastAsia"/>
          <w:color w:val="1A2733"/>
        </w:rPr>
        <w:t>议题把这三级重新定义为三个「验收关口」，并为每一级明确写出了一个输出物和一份「不证明清单」。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328"/>
        <w:gridCol w:w="3156"/>
        <w:gridCol w:w="1495"/>
        <w:gridCol w:w="1497"/>
      </w:tblGrid>
      <w:tr w:rsidR="006C1AF3" w14:paraId="6C375CE3" w14:textId="77777777">
        <w:trPr>
          <w:cantSplit/>
          <w:tblHeader/>
        </w:trPr>
        <w:tc>
          <w:tcPr>
            <w:tcW w:w="83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8583C1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层级</w:t>
            </w:r>
          </w:p>
        </w:tc>
        <w:tc>
          <w:tcPr>
            <w:tcW w:w="132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1C7365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对象</w:t>
            </w:r>
          </w:p>
        </w:tc>
        <w:tc>
          <w:tcPr>
            <w:tcW w:w="31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83B79D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核心测试内容</w:t>
            </w:r>
          </w:p>
        </w:tc>
        <w:tc>
          <w:tcPr>
            <w:tcW w:w="149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27FEA4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输出物</w:t>
            </w:r>
          </w:p>
        </w:tc>
        <w:tc>
          <w:tcPr>
            <w:tcW w:w="149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60B61D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不证明</w:t>
            </w:r>
          </w:p>
        </w:tc>
      </w:tr>
      <w:tr w:rsidR="006C1AF3" w14:paraId="2EEE4C40" w14:textId="77777777">
        <w:trPr>
          <w:cantSplit/>
        </w:trPr>
        <w:tc>
          <w:tcPr>
            <w:tcW w:w="83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34F1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b/>
                <w:color w:val="1F4E79"/>
                <w:sz w:val="18"/>
              </w:rPr>
              <w:t>L1–L9</w:t>
            </w:r>
          </w:p>
        </w:tc>
        <w:tc>
          <w:tcPr>
            <w:tcW w:w="132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E5BC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零部件与准系统</w:t>
            </w:r>
          </w:p>
        </w:tc>
        <w:tc>
          <w:tcPr>
            <w:tcW w:w="3156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4D2F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钣金、注塑、套件、主板、扩展卡、硬盘、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CPU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与内存的装配与功能测试</w:t>
            </w:r>
          </w:p>
        </w:tc>
        <w:tc>
          <w:tcPr>
            <w:tcW w:w="149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F162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可装配的准系统</w:t>
            </w:r>
          </w:p>
        </w:tc>
        <w:tc>
          <w:tcPr>
            <w:tcW w:w="149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1420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系统级稳定性、机柜适配、现场可用性</w:t>
            </w:r>
          </w:p>
        </w:tc>
      </w:tr>
      <w:tr w:rsidR="006C1AF3" w14:paraId="0FED2645" w14:textId="77777777">
        <w:trPr>
          <w:cantSplit/>
        </w:trPr>
        <w:tc>
          <w:tcPr>
            <w:tcW w:w="83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0011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b/>
                <w:color w:val="1F4E79"/>
                <w:sz w:val="18"/>
              </w:rPr>
              <w:t>L10</w:t>
            </w:r>
          </w:p>
        </w:tc>
        <w:tc>
          <w:tcPr>
            <w:tcW w:w="132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711B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计算托盘</w:t>
            </w:r>
          </w:p>
        </w:tc>
        <w:tc>
          <w:tcPr>
            <w:tcW w:w="3156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FA06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上电与启动、库存与拓扑、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GPU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与网络初始化、固件与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SBOM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、持续负载（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DCGM / ECC / XID / AER /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降频监控）</w:t>
            </w:r>
          </w:p>
        </w:tc>
        <w:tc>
          <w:tcPr>
            <w:tcW w:w="149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A549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一台能进入操作系统的服务器</w:t>
            </w:r>
          </w:p>
        </w:tc>
        <w:tc>
          <w:tcPr>
            <w:tcW w:w="149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CA470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线缆卡匣就位、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72-GPU NVLink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域、机柜设施、跨柜行为</w:t>
            </w:r>
          </w:p>
        </w:tc>
      </w:tr>
      <w:tr w:rsidR="006C1AF3" w14:paraId="09DCE9A8" w14:textId="77777777">
        <w:trPr>
          <w:cantSplit/>
        </w:trPr>
        <w:tc>
          <w:tcPr>
            <w:tcW w:w="83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1E6C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b/>
                <w:color w:val="1F4E79"/>
                <w:sz w:val="18"/>
              </w:rPr>
              <w:t>L11</w:t>
            </w:r>
          </w:p>
        </w:tc>
        <w:tc>
          <w:tcPr>
            <w:tcW w:w="132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F459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整机柜</w:t>
            </w:r>
          </w:p>
        </w:tc>
        <w:tc>
          <w:tcPr>
            <w:tcW w:w="3156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DC83C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物理（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18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计算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+ 9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交换托盘、线缆卡匣、铜排映射）、管理（双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TOR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BMC/HMC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）、供电（阶跃负载、告警、冗余）、冷却（压流曲线、供回温、漏液）、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NVLink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域（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72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卡成员、链路图、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NCCL all-reduce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）</w:t>
            </w:r>
          </w:p>
        </w:tc>
        <w:tc>
          <w:tcPr>
            <w:tcW w:w="149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794D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一台完成布线、可工作的机柜</w:t>
            </w:r>
          </w:p>
        </w:tc>
        <w:tc>
          <w:tcPr>
            <w:tcW w:w="149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5DD70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跨柜传输、置备、调度放置、训练作业完成时间</w:t>
            </w:r>
          </w:p>
        </w:tc>
      </w:tr>
      <w:tr w:rsidR="006C1AF3" w14:paraId="0DDFF492" w14:textId="77777777">
        <w:trPr>
          <w:cantSplit/>
        </w:trPr>
        <w:tc>
          <w:tcPr>
            <w:tcW w:w="83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C8EF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b/>
                <w:color w:val="1F4E79"/>
                <w:sz w:val="18"/>
              </w:rPr>
              <w:lastRenderedPageBreak/>
              <w:t>L12</w:t>
            </w:r>
          </w:p>
        </w:tc>
        <w:tc>
          <w:tcPr>
            <w:tcW w:w="132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4CD9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多机柜集群</w:t>
            </w:r>
          </w:p>
        </w:tc>
        <w:tc>
          <w:tcPr>
            <w:tcW w:w="3156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0782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IB /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以太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fabric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、跨柜管理、跨柜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NCCL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GPUDirect RDMA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BCM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置备、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Slurm/K8s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UFM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DCGM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、训练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JCT</w:t>
            </w:r>
          </w:p>
        </w:tc>
        <w:tc>
          <w:tcPr>
            <w:tcW w:w="149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EE0B0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一个可承载工作负载的集群</w:t>
            </w:r>
          </w:p>
        </w:tc>
        <w:tc>
          <w:tcPr>
            <w:tcW w:w="149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E9C5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长期可用性、全部工作负载、超出已验证拓扑与画像的性能</w:t>
            </w:r>
          </w:p>
        </w:tc>
      </w:tr>
    </w:tbl>
    <w:p w14:paraId="63B64567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表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2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</w:t>
      </w:r>
      <w:r>
        <w:rPr>
          <w:rFonts w:ascii="微软雅黑" w:eastAsia="微软雅黑" w:hAnsi="微软雅黑" w:cs="微软雅黑" w:hint="eastAsia"/>
          <w:color w:val="5C6B7A"/>
          <w:sz w:val="18"/>
        </w:rPr>
        <w:t>L1</w:t>
      </w:r>
      <w:r>
        <w:rPr>
          <w:rFonts w:ascii="微软雅黑" w:eastAsia="微软雅黑" w:hAnsi="微软雅黑" w:cs="微软雅黑" w:hint="eastAsia"/>
          <w:color w:val="5C6B7A"/>
          <w:sz w:val="18"/>
        </w:rPr>
        <w:t>–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L12 </w:t>
      </w:r>
      <w:r>
        <w:rPr>
          <w:rFonts w:ascii="微软雅黑" w:eastAsia="微软雅黑" w:hAnsi="微软雅黑" w:cs="微软雅黑" w:hint="eastAsia"/>
          <w:color w:val="5C6B7A"/>
          <w:sz w:val="18"/>
        </w:rPr>
        <w:t>制造分级与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L10</w:t>
      </w:r>
      <w:r>
        <w:rPr>
          <w:rFonts w:ascii="微软雅黑" w:eastAsia="微软雅黑" w:hAnsi="微软雅黑" w:cs="微软雅黑" w:hint="eastAsia"/>
          <w:color w:val="5C6B7A"/>
          <w:sz w:val="18"/>
        </w:rPr>
        <w:t>–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L12 </w:t>
      </w:r>
      <w:r>
        <w:rPr>
          <w:rFonts w:ascii="微软雅黑" w:eastAsia="微软雅黑" w:hAnsi="微软雅黑" w:cs="微软雅黑" w:hint="eastAsia"/>
          <w:color w:val="5C6B7A"/>
          <w:sz w:val="18"/>
        </w:rPr>
        <w:t>的验收内容（依据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OCP 2026 </w:t>
      </w:r>
      <w:r>
        <w:rPr>
          <w:rFonts w:ascii="微软雅黑" w:eastAsia="微软雅黑" w:hAnsi="微软雅黑" w:cs="微软雅黑" w:hint="eastAsia"/>
          <w:color w:val="5C6B7A"/>
          <w:sz w:val="18"/>
        </w:rPr>
        <w:t>议题整理）</w:t>
      </w:r>
    </w:p>
    <w:p w14:paraId="62915B61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2.2 </w:t>
      </w:r>
      <w:r>
        <w:rPr>
          <w:rFonts w:ascii="微软雅黑" w:eastAsia="微软雅黑" w:hAnsi="微软雅黑" w:cs="微软雅黑" w:hint="eastAsia"/>
          <w:color w:val="1F4E79"/>
        </w:rPr>
        <w:t>三级验收的「证明—不证明」结构</w:t>
      </w:r>
    </w:p>
    <w:p w14:paraId="7D6B85B5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 xml:space="preserve">OCP </w:t>
      </w:r>
      <w:r>
        <w:rPr>
          <w:rFonts w:ascii="微软雅黑" w:eastAsia="微软雅黑" w:hAnsi="微软雅黑" w:cs="微软雅黑" w:hint="eastAsia"/>
          <w:color w:val="1A2733"/>
        </w:rPr>
        <w:t>议题中最值得借鉴的方法论细节，不是测试项本身，而是每一级都同时声明了「</w:t>
      </w:r>
      <w:r>
        <w:rPr>
          <w:rFonts w:ascii="微软雅黑" w:eastAsia="微软雅黑" w:hAnsi="微软雅黑" w:cs="微软雅黑" w:hint="eastAsia"/>
          <w:color w:val="1A2733"/>
        </w:rPr>
        <w:t>DOES NOT PROVE</w:t>
      </w:r>
      <w:r>
        <w:rPr>
          <w:rFonts w:ascii="微软雅黑" w:eastAsia="微软雅黑" w:hAnsi="微软雅黑" w:cs="微软雅黑" w:hint="eastAsia"/>
          <w:color w:val="1A2733"/>
        </w:rPr>
        <w:t>」。这一点在工程管理上极为关键：它把每一级验收的能力边界显式化，从而阻断了「用上一级的通过去推断下一级的成立」这条最常见的错误推理路径。</w:t>
      </w:r>
    </w:p>
    <w:p w14:paraId="20F5590E" w14:textId="77777777" w:rsidR="006C1AF3" w:rsidRDefault="004B2385">
      <w:pPr>
        <w:spacing w:before="240" w:after="240" w:line="388" w:lineRule="auto"/>
        <w:ind w:left="240" w:right="240"/>
        <w:jc w:val="center"/>
        <w:rPr>
          <w:color w:val="1A2733"/>
        </w:rPr>
      </w:pPr>
      <w:r>
        <w:rPr>
          <w:noProof/>
        </w:rPr>
        <w:drawing>
          <wp:inline distT="0" distB="0" distL="0" distR="0" wp14:anchorId="38755C86" wp14:editId="096B4B03">
            <wp:extent cx="5274310" cy="29667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41ED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图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2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L10 / L11 / L12 </w:t>
      </w:r>
      <w:r>
        <w:rPr>
          <w:rFonts w:ascii="微软雅黑" w:eastAsia="微软雅黑" w:hAnsi="微软雅黑" w:cs="微软雅黑" w:hint="eastAsia"/>
          <w:color w:val="5C6B7A"/>
          <w:sz w:val="18"/>
        </w:rPr>
        <w:t>三级验收的证明边界与输出物</w:t>
      </w:r>
    </w:p>
    <w:p w14:paraId="10FC2B1E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以</w:t>
      </w:r>
      <w:r>
        <w:rPr>
          <w:rFonts w:ascii="微软雅黑" w:eastAsia="微软雅黑" w:hAnsi="微软雅黑" w:cs="微软雅黑" w:hint="eastAsia"/>
          <w:color w:val="1A2733"/>
        </w:rPr>
        <w:t xml:space="preserve"> L10 </w:t>
      </w:r>
      <w:r>
        <w:rPr>
          <w:rFonts w:ascii="微软雅黑" w:eastAsia="微软雅黑" w:hAnsi="微软雅黑" w:cs="微软雅黑" w:hint="eastAsia"/>
          <w:color w:val="1A2733"/>
        </w:rPr>
        <w:t>为例。议题明确写道：</w:t>
      </w:r>
      <w:r>
        <w:rPr>
          <w:rFonts w:ascii="微软雅黑" w:eastAsia="微软雅黑" w:hAnsi="微软雅黑" w:cs="微软雅黑" w:hint="eastAsia"/>
          <w:color w:val="1A2733"/>
        </w:rPr>
        <w:t xml:space="preserve">L10 </w:t>
      </w:r>
      <w:r>
        <w:rPr>
          <w:rFonts w:ascii="微软雅黑" w:eastAsia="微软雅黑" w:hAnsi="微软雅黑" w:cs="微软雅黑" w:hint="eastAsia"/>
          <w:color w:val="1A2733"/>
        </w:rPr>
        <w:t>证明托盘是已知的、可启动的、驱动就绪的、在声明的本地负载下稳定的；但它不证明线缆卡匣是否就位、不证明</w:t>
      </w:r>
      <w:r>
        <w:rPr>
          <w:rFonts w:ascii="微软雅黑" w:eastAsia="微软雅黑" w:hAnsi="微软雅黑" w:cs="微软雅黑" w:hint="eastAsia"/>
          <w:color w:val="1A2733"/>
        </w:rPr>
        <w:t xml:space="preserve"> 72 </w:t>
      </w:r>
      <w:r>
        <w:rPr>
          <w:rFonts w:ascii="微软雅黑" w:eastAsia="微软雅黑" w:hAnsi="微软雅黑" w:cs="微软雅黑" w:hint="eastAsia"/>
          <w:color w:val="1A2733"/>
        </w:rPr>
        <w:t>卡</w:t>
      </w:r>
      <w:r>
        <w:rPr>
          <w:rFonts w:ascii="微软雅黑" w:eastAsia="微软雅黑" w:hAnsi="微软雅黑" w:cs="微软雅黑" w:hint="eastAsia"/>
          <w:color w:val="1A2733"/>
        </w:rPr>
        <w:t xml:space="preserve"> NVLink </w:t>
      </w:r>
      <w:r>
        <w:rPr>
          <w:rFonts w:ascii="微软雅黑" w:eastAsia="微软雅黑" w:hAnsi="微软雅黑" w:cs="微软雅黑" w:hint="eastAsia"/>
          <w:color w:val="1A2733"/>
        </w:rPr>
        <w:t>域是否成立、不证明机柜设施是否匹配、不证明跨柜行为是否符合预期。这四条「不证明」几乎逐条对应了</w:t>
      </w:r>
      <w:r>
        <w:rPr>
          <w:rFonts w:ascii="微软雅黑" w:eastAsia="微软雅黑" w:hAnsi="微软雅黑" w:cs="微软雅黑" w:hint="eastAsia"/>
          <w:color w:val="1A2733"/>
        </w:rPr>
        <w:t xml:space="preserve"> AI </w:t>
      </w:r>
      <w:r>
        <w:rPr>
          <w:rFonts w:ascii="微软雅黑" w:eastAsia="微软雅黑" w:hAnsi="微软雅黑" w:cs="微软雅黑" w:hint="eastAsia"/>
          <w:color w:val="1A2733"/>
        </w:rPr>
        <w:t>机柜在量产爬坡阶段最常见的一类现场问题——装配态缺陷。</w:t>
      </w:r>
    </w:p>
    <w:p w14:paraId="350EE7DB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再以</w:t>
      </w:r>
      <w:r>
        <w:rPr>
          <w:rFonts w:ascii="微软雅黑" w:eastAsia="微软雅黑" w:hAnsi="微软雅黑" w:cs="微软雅黑" w:hint="eastAsia"/>
          <w:color w:val="1A2733"/>
        </w:rPr>
        <w:t xml:space="preserve"> L11 </w:t>
      </w:r>
      <w:r>
        <w:rPr>
          <w:rFonts w:ascii="微软雅黑" w:eastAsia="微软雅黑" w:hAnsi="微软雅黑" w:cs="微软雅黑" w:hint="eastAsia"/>
          <w:color w:val="1A2733"/>
        </w:rPr>
        <w:t>为例。它证明的是整柜完全就位、可达、热稳定，并能跑通一次正确的</w:t>
      </w:r>
      <w:r>
        <w:rPr>
          <w:rFonts w:ascii="微软雅黑" w:eastAsia="微软雅黑" w:hAnsi="微软雅黑" w:cs="微软雅黑" w:hint="eastAsia"/>
          <w:color w:val="1A2733"/>
        </w:rPr>
        <w:t xml:space="preserve"> 72 </w:t>
      </w:r>
      <w:r>
        <w:rPr>
          <w:rFonts w:ascii="微软雅黑" w:eastAsia="微软雅黑" w:hAnsi="微软雅黑" w:cs="微软雅黑" w:hint="eastAsia"/>
          <w:color w:val="1A2733"/>
        </w:rPr>
        <w:t>卡集合通信；但它不</w:t>
      </w:r>
      <w:r>
        <w:rPr>
          <w:rFonts w:ascii="微软雅黑" w:eastAsia="微软雅黑" w:hAnsi="微软雅黑" w:cs="微软雅黑" w:hint="eastAsia"/>
          <w:color w:val="1A2733"/>
        </w:rPr>
        <w:lastRenderedPageBreak/>
        <w:t>证明跨柜传输、置备、调度放置，也不证明训练作业完成时间。这意味着一个「</w:t>
      </w:r>
      <w:r>
        <w:rPr>
          <w:rFonts w:ascii="微软雅黑" w:eastAsia="微软雅黑" w:hAnsi="微软雅黑" w:cs="微软雅黑" w:hint="eastAsia"/>
          <w:color w:val="1A2733"/>
        </w:rPr>
        <w:t xml:space="preserve">L11 </w:t>
      </w:r>
      <w:r>
        <w:rPr>
          <w:rFonts w:ascii="微软雅黑" w:eastAsia="微软雅黑" w:hAnsi="微软雅黑" w:cs="微软雅黑" w:hint="eastAsia"/>
          <w:color w:val="1A2733"/>
        </w:rPr>
        <w:t>全部通过」的机柜，仍然可能在集群里因为</w:t>
      </w:r>
      <w:r>
        <w:rPr>
          <w:rFonts w:ascii="微软雅黑" w:eastAsia="微软雅黑" w:hAnsi="微软雅黑" w:cs="微软雅黑" w:hint="eastAsia"/>
          <w:color w:val="1A2733"/>
        </w:rPr>
        <w:t xml:space="preserve"> fabric </w:t>
      </w:r>
      <w:r>
        <w:rPr>
          <w:rFonts w:ascii="微软雅黑" w:eastAsia="微软雅黑" w:hAnsi="微软雅黑" w:cs="微软雅黑" w:hint="eastAsia"/>
          <w:color w:val="1A2733"/>
        </w:rPr>
        <w:t>配置、调度策略或跨柜拥塞而无法交付。</w:t>
      </w:r>
    </w:p>
    <w:p w14:paraId="17E17AC0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2.3 </w:t>
      </w:r>
      <w:r>
        <w:rPr>
          <w:rFonts w:ascii="微软雅黑" w:eastAsia="微软雅黑" w:hAnsi="微软雅黑" w:cs="微软雅黑" w:hint="eastAsia"/>
          <w:color w:val="1F4E79"/>
        </w:rPr>
        <w:t>三级验收的四个设计原则</w:t>
      </w:r>
    </w:p>
    <w:p w14:paraId="402EE873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原则一：每一级必须有独立的物理边界。</w:t>
      </w:r>
      <w:r>
        <w:rPr>
          <w:rFonts w:ascii="微软雅黑" w:eastAsia="微软雅黑" w:hAnsi="微软雅黑" w:cs="微软雅黑" w:hint="eastAsia"/>
          <w:color w:val="1A2733"/>
        </w:rPr>
        <w:t xml:space="preserve">L10 </w:t>
      </w:r>
      <w:r>
        <w:rPr>
          <w:rFonts w:ascii="微软雅黑" w:eastAsia="微软雅黑" w:hAnsi="微软雅黑" w:cs="微软雅黑" w:hint="eastAsia"/>
          <w:color w:val="1A2733"/>
        </w:rPr>
        <w:t>的边界是托盘，</w:t>
      </w:r>
      <w:r>
        <w:rPr>
          <w:rFonts w:ascii="微软雅黑" w:eastAsia="微软雅黑" w:hAnsi="微软雅黑" w:cs="微软雅黑" w:hint="eastAsia"/>
          <w:color w:val="1A2733"/>
        </w:rPr>
        <w:t xml:space="preserve">L11 </w:t>
      </w:r>
      <w:r>
        <w:rPr>
          <w:rFonts w:ascii="微软雅黑" w:eastAsia="微软雅黑" w:hAnsi="微软雅黑" w:cs="微软雅黑" w:hint="eastAsia"/>
          <w:color w:val="1A2733"/>
        </w:rPr>
        <w:t>的边界是机柜，</w:t>
      </w:r>
      <w:r>
        <w:rPr>
          <w:rFonts w:ascii="微软雅黑" w:eastAsia="微软雅黑" w:hAnsi="微软雅黑" w:cs="微软雅黑" w:hint="eastAsia"/>
          <w:color w:val="1A2733"/>
        </w:rPr>
        <w:t xml:space="preserve">L12 </w:t>
      </w:r>
      <w:r>
        <w:rPr>
          <w:rFonts w:ascii="微软雅黑" w:eastAsia="微软雅黑" w:hAnsi="微软雅黑" w:cs="微软雅黑" w:hint="eastAsia"/>
          <w:color w:val="1A2733"/>
        </w:rPr>
        <w:t>的边界是</w:t>
      </w:r>
      <w:r>
        <w:rPr>
          <w:rFonts w:ascii="微软雅黑" w:eastAsia="微软雅黑" w:hAnsi="微软雅黑" w:cs="微软雅黑" w:hint="eastAsia"/>
          <w:color w:val="1A2733"/>
        </w:rPr>
        <w:t xml:space="preserve"> fabric </w:t>
      </w:r>
      <w:r>
        <w:rPr>
          <w:rFonts w:ascii="微软雅黑" w:eastAsia="微软雅黑" w:hAnsi="微软雅黑" w:cs="微软雅黑" w:hint="eastAsia"/>
          <w:color w:val="1A2733"/>
        </w:rPr>
        <w:t>与调度域。边界一旦模糊（例如把「机柜里插了几台机器并跑通了一个小模型」称为</w:t>
      </w:r>
      <w:r>
        <w:rPr>
          <w:rFonts w:ascii="微软雅黑" w:eastAsia="微软雅黑" w:hAnsi="微软雅黑" w:cs="微软雅黑" w:hint="eastAsia"/>
          <w:color w:val="1A2733"/>
        </w:rPr>
        <w:t xml:space="preserve"> L12</w:t>
      </w:r>
      <w:r>
        <w:rPr>
          <w:rFonts w:ascii="微软雅黑" w:eastAsia="微软雅黑" w:hAnsi="微软雅黑" w:cs="微软雅黑" w:hint="eastAsia"/>
          <w:color w:val="1A2733"/>
        </w:rPr>
        <w:t>），验收就退化为演示。</w:t>
      </w:r>
    </w:p>
    <w:p w14:paraId="62984F4E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原则二：每一级必须有独立的失败模式。</w:t>
      </w:r>
      <w:r>
        <w:rPr>
          <w:rFonts w:ascii="微软雅黑" w:eastAsia="微软雅黑" w:hAnsi="微软雅黑" w:cs="微软雅黑" w:hint="eastAsia"/>
          <w:color w:val="1A2733"/>
        </w:rPr>
        <w:t>如果某一级只能发现上一级也能发现的问题，这一级就没有存在价值。</w:t>
      </w:r>
      <w:r>
        <w:rPr>
          <w:rFonts w:ascii="微软雅黑" w:eastAsia="微软雅黑" w:hAnsi="微软雅黑" w:cs="微软雅黑" w:hint="eastAsia"/>
          <w:color w:val="1A2733"/>
        </w:rPr>
        <w:t xml:space="preserve">L11 </w:t>
      </w:r>
      <w:r>
        <w:rPr>
          <w:rFonts w:ascii="微软雅黑" w:eastAsia="微软雅黑" w:hAnsi="微软雅黑" w:cs="微软雅黑" w:hint="eastAsia"/>
          <w:color w:val="1A2733"/>
        </w:rPr>
        <w:t>之所以不可省略，正因为它能发现</w:t>
      </w:r>
      <w:r>
        <w:rPr>
          <w:rFonts w:ascii="微软雅黑" w:eastAsia="微软雅黑" w:hAnsi="微软雅黑" w:cs="微软雅黑" w:hint="eastAsia"/>
          <w:color w:val="1A2733"/>
        </w:rPr>
        <w:t xml:space="preserve"> L10 </w:t>
      </w:r>
      <w:r>
        <w:rPr>
          <w:rFonts w:ascii="微软雅黑" w:eastAsia="微软雅黑" w:hAnsi="微软雅黑" w:cs="微软雅黑" w:hint="eastAsia"/>
          <w:color w:val="1A2733"/>
        </w:rPr>
        <w:t>在物理上无法接触的失效：卡匣未完全就位、线束错插、</w:t>
      </w:r>
      <w:r>
        <w:rPr>
          <w:rFonts w:ascii="微软雅黑" w:eastAsia="微软雅黑" w:hAnsi="微软雅黑" w:cs="微软雅黑" w:hint="eastAsia"/>
          <w:color w:val="1A2733"/>
        </w:rPr>
        <w:t xml:space="preserve">CDU </w:t>
      </w:r>
      <w:r>
        <w:rPr>
          <w:rFonts w:ascii="微软雅黑" w:eastAsia="微软雅黑" w:hAnsi="微软雅黑" w:cs="微软雅黑" w:hint="eastAsia"/>
          <w:color w:val="1A2733"/>
        </w:rPr>
        <w:t>流量分配不均、母排压降超标。</w:t>
      </w:r>
    </w:p>
    <w:p w14:paraId="082740C6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原则三：每一级必须产出可追溯的证据包。</w:t>
      </w:r>
      <w:r>
        <w:rPr>
          <w:rFonts w:ascii="微软雅黑" w:eastAsia="微软雅黑" w:hAnsi="微软雅黑" w:cs="微软雅黑" w:hint="eastAsia"/>
          <w:color w:val="1A2733"/>
        </w:rPr>
        <w:t xml:space="preserve">OCP </w:t>
      </w:r>
      <w:r>
        <w:rPr>
          <w:rFonts w:ascii="微软雅黑" w:eastAsia="微软雅黑" w:hAnsi="微软雅黑" w:cs="微软雅黑" w:hint="eastAsia"/>
          <w:color w:val="1A2733"/>
        </w:rPr>
        <w:t>议题展示的</w:t>
      </w:r>
      <w:r>
        <w:rPr>
          <w:rFonts w:ascii="微软雅黑" w:eastAsia="微软雅黑" w:hAnsi="微软雅黑" w:cs="微软雅黑" w:hint="eastAsia"/>
          <w:color w:val="1A2733"/>
        </w:rPr>
        <w:t xml:space="preserve"> L11 </w:t>
      </w:r>
      <w:r>
        <w:rPr>
          <w:rFonts w:ascii="微软雅黑" w:eastAsia="微软雅黑" w:hAnsi="微软雅黑" w:cs="微软雅黑" w:hint="eastAsia"/>
          <w:color w:val="1A2733"/>
        </w:rPr>
        <w:t>报告样例值得直接采用：自动生成</w:t>
      </w:r>
      <w:r>
        <w:rPr>
          <w:rFonts w:ascii="微软雅黑" w:eastAsia="微软雅黑" w:hAnsi="微软雅黑" w:cs="微软雅黑" w:hint="eastAsia"/>
          <w:color w:val="1A2733"/>
        </w:rPr>
        <w:t xml:space="preserve"> HTML / PDF / JSON </w:t>
      </w:r>
      <w:r>
        <w:rPr>
          <w:rFonts w:ascii="微软雅黑" w:eastAsia="微软雅黑" w:hAnsi="微软雅黑" w:cs="微软雅黑" w:hint="eastAsia"/>
          <w:color w:val="1A2733"/>
        </w:rPr>
        <w:t>三种形态，可追溯到机柜、托盘与器件序列号，内容包括全部</w:t>
      </w:r>
      <w:r>
        <w:rPr>
          <w:rFonts w:ascii="微软雅黑" w:eastAsia="微软雅黑" w:hAnsi="微软雅黑" w:cs="微软雅黑" w:hint="eastAsia"/>
          <w:color w:val="1A2733"/>
        </w:rPr>
        <w:t xml:space="preserve"> 18 </w:t>
      </w:r>
      <w:r>
        <w:rPr>
          <w:rFonts w:ascii="微软雅黑" w:eastAsia="微软雅黑" w:hAnsi="微软雅黑" w:cs="微软雅黑" w:hint="eastAsia"/>
          <w:color w:val="1A2733"/>
        </w:rPr>
        <w:t>台计算托盘的固件更新结果、</w:t>
      </w:r>
      <w:r>
        <w:rPr>
          <w:rFonts w:ascii="微软雅黑" w:eastAsia="微软雅黑" w:hAnsi="微软雅黑" w:cs="微软雅黑" w:hint="eastAsia"/>
          <w:color w:val="1A2733"/>
        </w:rPr>
        <w:t xml:space="preserve">NVLink </w:t>
      </w:r>
      <w:r>
        <w:rPr>
          <w:rFonts w:ascii="微软雅黑" w:eastAsia="微软雅黑" w:hAnsi="微软雅黑" w:cs="微软雅黑" w:hint="eastAsia"/>
          <w:color w:val="1A2733"/>
        </w:rPr>
        <w:t>交换托盘固件、各轮</w:t>
      </w:r>
      <w:r>
        <w:rPr>
          <w:rFonts w:ascii="微软雅黑" w:eastAsia="微软雅黑" w:hAnsi="微软雅黑" w:cs="微软雅黑" w:hint="eastAsia"/>
          <w:color w:val="1A2733"/>
        </w:rPr>
        <w:t xml:space="preserve"> burn-in </w:t>
      </w:r>
      <w:r>
        <w:rPr>
          <w:rFonts w:ascii="微软雅黑" w:eastAsia="微软雅黑" w:hAnsi="微软雅黑" w:cs="微软雅黑" w:hint="eastAsia"/>
          <w:color w:val="1A2733"/>
        </w:rPr>
        <w:t>的整柜功率曲线，以及</w:t>
      </w:r>
      <w:r>
        <w:rPr>
          <w:rFonts w:ascii="微软雅黑" w:eastAsia="微软雅黑" w:hAnsi="微软雅黑" w:cs="微软雅黑" w:hint="eastAsia"/>
          <w:color w:val="1A2733"/>
        </w:rPr>
        <w:t xml:space="preserve"> CDU </w:t>
      </w:r>
      <w:r>
        <w:rPr>
          <w:rFonts w:ascii="微软雅黑" w:eastAsia="微软雅黑" w:hAnsi="微软雅黑" w:cs="微软雅黑" w:hint="eastAsia"/>
          <w:color w:val="1A2733"/>
        </w:rPr>
        <w:t>健康度（冷却液温度、流量、回路压力、漏液与湿度）。这类报告的价值不在「证明测过」，而在于出问题时能把责任定位到具体批次与具体器件。</w:t>
      </w:r>
    </w:p>
    <w:p w14:paraId="64ECB2CF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原则四：每一级必须有明确的放行判据与放行权限。</w:t>
      </w:r>
      <w:r>
        <w:rPr>
          <w:rFonts w:ascii="微软雅黑" w:eastAsia="微软雅黑" w:hAnsi="微软雅黑" w:cs="微软雅黑" w:hint="eastAsia"/>
          <w:color w:val="1A2733"/>
        </w:rPr>
        <w:t>议题中的表述是「</w:t>
      </w:r>
      <w:r>
        <w:rPr>
          <w:rFonts w:ascii="微软雅黑" w:eastAsia="微软雅黑" w:hAnsi="微软雅黑" w:cs="微软雅黑" w:hint="eastAsia"/>
          <w:color w:val="1A2733"/>
        </w:rPr>
        <w:t xml:space="preserve">Exit gate: every item OK </w:t>
      </w:r>
      <w:r>
        <w:rPr>
          <w:rFonts w:ascii="微软雅黑" w:eastAsia="微软雅黑" w:hAnsi="微软雅黑" w:cs="微软雅黑" w:hint="eastAsia"/>
          <w:color w:val="1A2733"/>
        </w:rPr>
        <w:t>→</w:t>
      </w:r>
      <w:r>
        <w:rPr>
          <w:rFonts w:ascii="微软雅黑" w:eastAsia="微软雅黑" w:hAnsi="微软雅黑" w:cs="微软雅黑" w:hint="eastAsia"/>
          <w:color w:val="1A2733"/>
        </w:rPr>
        <w:t xml:space="preserve"> tray released to rack build</w:t>
      </w:r>
      <w:r>
        <w:rPr>
          <w:rFonts w:ascii="微软雅黑" w:eastAsia="微软雅黑" w:hAnsi="微软雅黑" w:cs="微软雅黑" w:hint="eastAsia"/>
          <w:color w:val="1A2733"/>
        </w:rPr>
        <w:t>」——放行是一个二元判定，不是加权评分。这一点在量产爬坡期尤其重要，因为此时最容易被「先放过去、后面再补」的临时决策侵蚀。</w:t>
      </w:r>
    </w:p>
    <w:p w14:paraId="6794A8F5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2.4 </w:t>
      </w:r>
      <w:r>
        <w:rPr>
          <w:rFonts w:ascii="微软雅黑" w:eastAsia="微软雅黑" w:hAnsi="微软雅黑" w:cs="微软雅黑" w:hint="eastAsia"/>
          <w:color w:val="1F4E79"/>
        </w:rPr>
        <w:t>一个被普遍低估的事实：</w:t>
      </w:r>
      <w:r>
        <w:rPr>
          <w:rFonts w:ascii="微软雅黑" w:eastAsia="微软雅黑" w:hAnsi="微软雅黑" w:cs="微软雅黑" w:hint="eastAsia"/>
          <w:color w:val="1F4E79"/>
        </w:rPr>
        <w:t xml:space="preserve">L11 </w:t>
      </w:r>
      <w:r>
        <w:rPr>
          <w:rFonts w:ascii="微软雅黑" w:eastAsia="微软雅黑" w:hAnsi="微软雅黑" w:cs="微软雅黑" w:hint="eastAsia"/>
          <w:color w:val="1F4E79"/>
        </w:rPr>
        <w:t>是线缆与液路缺陷的最后低成本拦截点</w:t>
      </w:r>
    </w:p>
    <w:p w14:paraId="4D229F36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把缺陷处置成本按发现层级展开，会得到一个陡峭的阶梯。托盘级返工通常只需拆装与重测；机柜级返工需要拆柜、重布线、重新做液路保压；集群级返工需要跨柜定位与</w:t>
      </w:r>
      <w:r>
        <w:rPr>
          <w:rFonts w:ascii="微软雅黑" w:eastAsia="微软雅黑" w:hAnsi="微软雅黑" w:cs="微软雅黑" w:hint="eastAsia"/>
          <w:color w:val="1A2733"/>
        </w:rPr>
        <w:t xml:space="preserve"> fabric </w:t>
      </w:r>
      <w:r>
        <w:rPr>
          <w:rFonts w:ascii="微软雅黑" w:eastAsia="微软雅黑" w:hAnsi="微软雅黑" w:cs="微软雅黑" w:hint="eastAsia"/>
          <w:color w:val="1A2733"/>
        </w:rPr>
        <w:t>调试；到了客户现场，还要叠加差旅、停机窗口与商业条款；如果缺陷在运行期才暴露，代价则包含</w:t>
      </w:r>
      <w:r>
        <w:rPr>
          <w:rFonts w:ascii="微软雅黑" w:eastAsia="微软雅黑" w:hAnsi="微软雅黑" w:cs="微软雅黑" w:hint="eastAsia"/>
          <w:color w:val="1A2733"/>
        </w:rPr>
        <w:t xml:space="preserve"> SLA </w:t>
      </w:r>
      <w:r>
        <w:rPr>
          <w:rFonts w:ascii="微软雅黑" w:eastAsia="微软雅黑" w:hAnsi="微软雅黑" w:cs="微软雅黑" w:hint="eastAsia"/>
          <w:color w:val="1A2733"/>
        </w:rPr>
        <w:t>赔付与算力损失。</w:t>
      </w:r>
    </w:p>
    <w:p w14:paraId="4442BD26" w14:textId="77777777" w:rsidR="006C1AF3" w:rsidRDefault="004B2385">
      <w:pPr>
        <w:spacing w:before="240" w:after="240" w:line="388" w:lineRule="auto"/>
        <w:ind w:left="240" w:right="240"/>
        <w:jc w:val="center"/>
        <w:rPr>
          <w:color w:val="1A2733"/>
        </w:rPr>
      </w:pPr>
      <w:r>
        <w:rPr>
          <w:noProof/>
        </w:rPr>
        <w:lastRenderedPageBreak/>
        <w:drawing>
          <wp:inline distT="0" distB="0" distL="0" distR="0" wp14:anchorId="74297838" wp14:editId="75F5FD24">
            <wp:extent cx="5274310" cy="29667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2F2C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图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3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缺陷发现层级与相对处置成本（以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L10 </w:t>
      </w:r>
      <w:r>
        <w:rPr>
          <w:rFonts w:ascii="微软雅黑" w:eastAsia="微软雅黑" w:hAnsi="微软雅黑" w:cs="微软雅黑" w:hint="eastAsia"/>
          <w:color w:val="5C6B7A"/>
          <w:sz w:val="18"/>
        </w:rPr>
        <w:t>单缺陷处置成本为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1</w:t>
      </w:r>
      <w:r>
        <w:rPr>
          <w:rFonts w:ascii="微软雅黑" w:eastAsia="微软雅黑" w:hAnsi="微软雅黑" w:cs="微软雅黑" w:hint="eastAsia"/>
          <w:color w:val="5C6B7A"/>
          <w:sz w:val="18"/>
        </w:rPr>
        <w:t>；数量级判断，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C </w:t>
      </w:r>
      <w:r>
        <w:rPr>
          <w:rFonts w:ascii="微软雅黑" w:eastAsia="微软雅黑" w:hAnsi="微软雅黑" w:cs="微软雅黑" w:hint="eastAsia"/>
          <w:color w:val="5C6B7A"/>
          <w:sz w:val="18"/>
        </w:rPr>
        <w:t>级分析）</w:t>
      </w:r>
    </w:p>
    <w:p w14:paraId="11A1990F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这张图的用途不是给出精确倍数，而是确定一个管理判断：线缆与液路这两类缺陷，如果在</w:t>
      </w:r>
      <w:r>
        <w:rPr>
          <w:rFonts w:ascii="微软雅黑" w:eastAsia="微软雅黑" w:hAnsi="微软雅黑" w:cs="微软雅黑" w:hint="eastAsia"/>
          <w:color w:val="1A2733"/>
        </w:rPr>
        <w:t xml:space="preserve"> L11 </w:t>
      </w:r>
      <w:r>
        <w:rPr>
          <w:rFonts w:ascii="微软雅黑" w:eastAsia="微软雅黑" w:hAnsi="微软雅黑" w:cs="微软雅黑" w:hint="eastAsia"/>
          <w:color w:val="1A2733"/>
        </w:rPr>
        <w:t>没有被拦住，后续每一级的处置成本都会上升一个数量级。而这两类缺陷恰恰具有「样机阶段不暴露」的共同特征——这正是原文把「线缆与液路验证」与「样机可运行」并列写进同一条目的深层逻辑。</w:t>
      </w:r>
    </w:p>
    <w:p w14:paraId="7F798167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t>三、测试覆盖率：从「测过了」到「可度量」</w:t>
      </w:r>
    </w:p>
    <w:p w14:paraId="73664C05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3.1 </w:t>
      </w:r>
      <w:r>
        <w:rPr>
          <w:rFonts w:ascii="微软雅黑" w:eastAsia="微软雅黑" w:hAnsi="微软雅黑" w:cs="微软雅黑" w:hint="eastAsia"/>
          <w:color w:val="1F4E79"/>
        </w:rPr>
        <w:t>为什么「覆盖率」是这条目里最难的词</w:t>
      </w:r>
    </w:p>
    <w:p w14:paraId="367F428B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在软件工程中，覆盖率有明确的定义域（语句、分支、路径）。在硬件制造中，「覆盖率」没有公认定义，因此极易被简化为「测试项数量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÷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应测项数量」。这个简化有三个结构性缺陷：</w:t>
      </w:r>
    </w:p>
    <w:p w14:paraId="4B28A989" w14:textId="77777777" w:rsidR="006C1AF3" w:rsidRDefault="004B2385">
      <w:pPr>
        <w:numPr>
          <w:ilvl w:val="0"/>
          <w:numId w:val="1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分母可被操纵。</w:t>
      </w:r>
      <w:r>
        <w:rPr>
          <w:rFonts w:ascii="微软雅黑" w:eastAsia="微软雅黑" w:hAnsi="微软雅黑" w:cs="微软雅黑" w:hint="eastAsia"/>
          <w:color w:val="1A2733"/>
        </w:rPr>
        <w:t>测试项拆得越细，覆盖率越高。把一个「整机压力测试」拆成二十条「单项检查」，覆盖率可以从</w:t>
      </w:r>
      <w:r>
        <w:rPr>
          <w:rFonts w:ascii="微软雅黑" w:eastAsia="微软雅黑" w:hAnsi="微软雅黑" w:cs="微软雅黑" w:hint="eastAsia"/>
          <w:color w:val="1A2733"/>
        </w:rPr>
        <w:t xml:space="preserve"> 40% </w:t>
      </w:r>
      <w:r>
        <w:rPr>
          <w:rFonts w:ascii="微软雅黑" w:eastAsia="微软雅黑" w:hAnsi="微软雅黑" w:cs="微软雅黑" w:hint="eastAsia"/>
          <w:color w:val="1A2733"/>
        </w:rPr>
        <w:t>变成</w:t>
      </w:r>
      <w:r>
        <w:rPr>
          <w:rFonts w:ascii="微软雅黑" w:eastAsia="微软雅黑" w:hAnsi="微软雅黑" w:cs="微软雅黑" w:hint="eastAsia"/>
          <w:color w:val="1A2733"/>
        </w:rPr>
        <w:t xml:space="preserve"> 95%</w:t>
      </w:r>
      <w:r>
        <w:rPr>
          <w:rFonts w:ascii="微软雅黑" w:eastAsia="微软雅黑" w:hAnsi="微软雅黑" w:cs="微软雅黑" w:hint="eastAsia"/>
          <w:color w:val="1A2733"/>
        </w:rPr>
        <w:t>，而实际检出能力没有任何变化。</w:t>
      </w:r>
    </w:p>
    <w:p w14:paraId="71FCBAD8" w14:textId="77777777" w:rsidR="006C1AF3" w:rsidRDefault="004B2385">
      <w:pPr>
        <w:numPr>
          <w:ilvl w:val="0"/>
          <w:numId w:val="1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分子不区分强度。</w:t>
      </w:r>
      <w:r>
        <w:rPr>
          <w:rFonts w:ascii="微软雅黑" w:eastAsia="微软雅黑" w:hAnsi="微软雅黑" w:cs="微软雅黑" w:hint="eastAsia"/>
          <w:color w:val="1A2733"/>
        </w:rPr>
        <w:t>「执行过」与「能失败」是两件事。一条永远通过的测试用例，对逃逸率的贡献为零，但在覆盖率统计中计满分。</w:t>
      </w:r>
    </w:p>
    <w:p w14:paraId="0798D4A7" w14:textId="77777777" w:rsidR="006C1AF3" w:rsidRDefault="004B2385">
      <w:pPr>
        <w:numPr>
          <w:ilvl w:val="0"/>
          <w:numId w:val="1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单一数字掩盖结构性缺口。</w:t>
      </w:r>
      <w:r>
        <w:rPr>
          <w:rFonts w:ascii="微软雅黑" w:eastAsia="微软雅黑" w:hAnsi="微软雅黑" w:cs="微软雅黑" w:hint="eastAsia"/>
          <w:color w:val="1A2733"/>
        </w:rPr>
        <w:t xml:space="preserve">90% </w:t>
      </w:r>
      <w:r>
        <w:rPr>
          <w:rFonts w:ascii="微软雅黑" w:eastAsia="微软雅黑" w:hAnsi="微软雅黑" w:cs="微软雅黑" w:hint="eastAsia"/>
          <w:color w:val="1A2733"/>
        </w:rPr>
        <w:t>的覆盖率可以意味着「稳态全测、故障模式全没测」，也可以意味着「故障模式全测、拓扑只抽样」。两者的量产风险相差极大，但报表上是同一个数。</w:t>
      </w:r>
    </w:p>
    <w:p w14:paraId="0D22B89A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lastRenderedPageBreak/>
        <w:t xml:space="preserve">3.2 </w:t>
      </w:r>
      <w:r>
        <w:rPr>
          <w:rFonts w:ascii="微软雅黑" w:eastAsia="微软雅黑" w:hAnsi="微软雅黑" w:cs="微软雅黑" w:hint="eastAsia"/>
          <w:color w:val="1F4E79"/>
        </w:rPr>
        <w:t>四层覆盖率模型</w:t>
      </w:r>
    </w:p>
    <w:p w14:paraId="0810ACB0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要让覆盖率可度量且不可操纵，必须把分母拆成四个互不重叠的层次，并分别定义分子。</w:t>
      </w:r>
    </w:p>
    <w:p w14:paraId="02BD8D05" w14:textId="77777777" w:rsidR="006C1AF3" w:rsidRDefault="004B2385">
      <w:pPr>
        <w:spacing w:before="240" w:after="240" w:line="388" w:lineRule="auto"/>
        <w:ind w:left="240" w:right="240"/>
        <w:jc w:val="center"/>
        <w:rPr>
          <w:color w:val="1A2733"/>
        </w:rPr>
      </w:pPr>
      <w:r>
        <w:rPr>
          <w:noProof/>
        </w:rPr>
        <w:drawing>
          <wp:inline distT="0" distB="0" distL="0" distR="0" wp14:anchorId="78FD5792" wp14:editId="2A1561DE">
            <wp:extent cx="5274310" cy="29667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AB52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图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4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覆盖率的四层模型：分母、分子与失效方式</w:t>
      </w:r>
    </w:p>
    <w:p w14:paraId="38D42C9A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第一层，需求覆盖。</w:t>
      </w:r>
      <w:r>
        <w:rPr>
          <w:rFonts w:ascii="微软雅黑" w:eastAsia="微软雅黑" w:hAnsi="微软雅黑" w:cs="微软雅黑" w:hint="eastAsia"/>
          <w:color w:val="1A2733"/>
        </w:rPr>
        <w:t>分母是规格条款与</w:t>
      </w:r>
      <w:r>
        <w:rPr>
          <w:rFonts w:ascii="微软雅黑" w:eastAsia="微软雅黑" w:hAnsi="微软雅黑" w:cs="微软雅黑" w:hint="eastAsia"/>
          <w:color w:val="1A2733"/>
        </w:rPr>
        <w:t xml:space="preserve"> DVP </w:t>
      </w:r>
      <w:r>
        <w:rPr>
          <w:rFonts w:ascii="微软雅黑" w:eastAsia="微软雅黑" w:hAnsi="微软雅黑" w:cs="微软雅黑" w:hint="eastAsia"/>
          <w:color w:val="1A2733"/>
        </w:rPr>
        <w:t>条目，包括</w:t>
      </w:r>
      <w:r>
        <w:rPr>
          <w:rFonts w:ascii="微软雅黑" w:eastAsia="微软雅黑" w:hAnsi="微软雅黑" w:cs="微软雅黑" w:hint="eastAsia"/>
          <w:color w:val="1A2733"/>
        </w:rPr>
        <w:t xml:space="preserve"> ORv3 / ORW / MGX </w:t>
      </w:r>
      <w:r>
        <w:rPr>
          <w:rFonts w:ascii="微软雅黑" w:eastAsia="微软雅黑" w:hAnsi="微软雅黑" w:cs="微软雅黑" w:hint="eastAsia"/>
          <w:color w:val="1A2733"/>
        </w:rPr>
        <w:t>等开放规范以及客户</w:t>
      </w:r>
      <w:r>
        <w:rPr>
          <w:rFonts w:ascii="微软雅黑" w:eastAsia="微软雅黑" w:hAnsi="微软雅黑" w:cs="微软雅黑" w:hint="eastAsia"/>
          <w:color w:val="1A2733"/>
        </w:rPr>
        <w:t xml:space="preserve"> ICD </w:t>
      </w:r>
      <w:r>
        <w:rPr>
          <w:rFonts w:ascii="微软雅黑" w:eastAsia="微软雅黑" w:hAnsi="微软雅黑" w:cs="微软雅黑" w:hint="eastAsia"/>
          <w:color w:val="1A2733"/>
        </w:rPr>
        <w:t>中的每一条可验证陈述。分子必须同时满足三个条件：存在对应测试用例、用例已执行、结果带有明确通过判据并可追溯到批次。这一层最容易虚高，因为条款的粒度由编写者决定。</w:t>
      </w:r>
    </w:p>
    <w:p w14:paraId="3EBFE92F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第二层，拓扑覆盖。</w:t>
      </w:r>
      <w:r>
        <w:rPr>
          <w:rFonts w:ascii="微软雅黑" w:eastAsia="微软雅黑" w:hAnsi="微软雅黑" w:cs="微软雅黑" w:hint="eastAsia"/>
          <w:color w:val="1A2733"/>
        </w:rPr>
        <w:t>分母是全部</w:t>
      </w:r>
      <w:r>
        <w:rPr>
          <w:rFonts w:ascii="微软雅黑" w:eastAsia="微软雅黑" w:hAnsi="微软雅黑" w:cs="微软雅黑" w:hint="eastAsia"/>
          <w:color w:val="1A2733"/>
        </w:rPr>
        <w:t xml:space="preserve"> FRU</w:t>
      </w:r>
      <w:r>
        <w:rPr>
          <w:rFonts w:ascii="微软雅黑" w:eastAsia="微软雅黑" w:hAnsi="微软雅黑" w:cs="微软雅黑" w:hint="eastAsia"/>
          <w:color w:val="1A2733"/>
        </w:rPr>
        <w:t>、端口、链路、液路节点、电源支路、</w:t>
      </w:r>
      <w:r>
        <w:rPr>
          <w:rFonts w:ascii="微软雅黑" w:eastAsia="微软雅黑" w:hAnsi="微软雅黑" w:cs="微软雅黑" w:hint="eastAsia"/>
          <w:color w:val="1A2733"/>
        </w:rPr>
        <w:t xml:space="preserve">NVLink </w:t>
      </w:r>
      <w:r>
        <w:rPr>
          <w:rFonts w:ascii="微软雅黑" w:eastAsia="微软雅黑" w:hAnsi="微软雅黑" w:cs="微软雅黑" w:hint="eastAsia"/>
          <w:color w:val="1A2733"/>
        </w:rPr>
        <w:t>与</w:t>
      </w:r>
      <w:r>
        <w:rPr>
          <w:rFonts w:ascii="微软雅黑" w:eastAsia="微软雅黑" w:hAnsi="微软雅黑" w:cs="微软雅黑" w:hint="eastAsia"/>
          <w:color w:val="1A2733"/>
        </w:rPr>
        <w:t xml:space="preserve"> fabric </w:t>
      </w:r>
      <w:r>
        <w:rPr>
          <w:rFonts w:ascii="微软雅黑" w:eastAsia="微软雅黑" w:hAnsi="微软雅黑" w:cs="微软雅黑" w:hint="eastAsia"/>
          <w:color w:val="1A2733"/>
        </w:rPr>
        <w:t>端点。分子是被实际加电、加压、加流量验证过的节点与链路数量。这一层针对的是装配类缺陷——就位不良、漏插、错插。它的关键要求是「全量而非抽样」，因为装配缺陷的本质是随机的单点事件，抽样会系统性地低估其发生率。</w:t>
      </w:r>
    </w:p>
    <w:p w14:paraId="636196B9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第三层，工况覆盖。</w:t>
      </w:r>
      <w:r>
        <w:rPr>
          <w:rFonts w:ascii="微软雅黑" w:eastAsia="微软雅黑" w:hAnsi="微软雅黑" w:cs="微软雅黑" w:hint="eastAsia"/>
          <w:color w:val="1A2733"/>
        </w:rPr>
        <w:t>分母是稳态、瞬态、边界、降级四类工况的组合矩阵，包含功率阶跃、失流、冷启动、高温环境等。分子是已执行且带判据的工况点数，按风险加权而非简单计数。这一层针对的是「在额定条件下正常、在边界条件下失效」的一类问题。</w:t>
      </w:r>
    </w:p>
    <w:p w14:paraId="31E03191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第四层，故障模式覆盖。</w:t>
      </w:r>
      <w:r>
        <w:rPr>
          <w:rFonts w:ascii="微软雅黑" w:eastAsia="微软雅黑" w:hAnsi="微软雅黑" w:cs="微软雅黑" w:hint="eastAsia"/>
          <w:color w:val="1A2733"/>
        </w:rPr>
        <w:t>分母是</w:t>
      </w:r>
      <w:r>
        <w:rPr>
          <w:rFonts w:ascii="微软雅黑" w:eastAsia="微软雅黑" w:hAnsi="微软雅黑" w:cs="微软雅黑" w:hint="eastAsia"/>
          <w:color w:val="1A2733"/>
        </w:rPr>
        <w:t xml:space="preserve"> FMEA / DFMEA </w:t>
      </w:r>
      <w:r>
        <w:rPr>
          <w:rFonts w:ascii="微软雅黑" w:eastAsia="微软雅黑" w:hAnsi="微软雅黑" w:cs="微软雅黑" w:hint="eastAsia"/>
          <w:color w:val="1A2733"/>
        </w:rPr>
        <w:t>中</w:t>
      </w:r>
      <w:r>
        <w:rPr>
          <w:rFonts w:ascii="微软雅黑" w:eastAsia="微软雅黑" w:hAnsi="微软雅黑" w:cs="微软雅黑" w:hint="eastAsia"/>
          <w:color w:val="1A2733"/>
        </w:rPr>
        <w:t xml:space="preserve"> RPN </w:t>
      </w:r>
      <w:r>
        <w:rPr>
          <w:rFonts w:ascii="微软雅黑" w:eastAsia="微软雅黑" w:hAnsi="微软雅黑" w:cs="微软雅黑" w:hint="eastAsia"/>
          <w:color w:val="1A2733"/>
        </w:rPr>
        <w:t>超过阈值的失效模式，外加现场历史故障字典中的</w:t>
      </w:r>
      <w:r>
        <w:rPr>
          <w:rFonts w:ascii="微软雅黑" w:eastAsia="微软雅黑" w:hAnsi="微软雅黑" w:cs="微软雅黑" w:hint="eastAsia"/>
          <w:color w:val="1A2733"/>
        </w:rPr>
        <w:t xml:space="preserve"> TOP </w:t>
      </w:r>
      <w:r>
        <w:rPr>
          <w:rFonts w:ascii="微软雅黑" w:eastAsia="微软雅黑" w:hAnsi="微软雅黑" w:cs="微软雅黑" w:hint="eastAsia"/>
          <w:color w:val="1A2733"/>
        </w:rPr>
        <w:t>项。分子必须同时验证两件事：该故障能被检出，以及检出时不产生误报。这一层是四层中最危</w:t>
      </w:r>
      <w:r>
        <w:rPr>
          <w:rFonts w:ascii="微软雅黑" w:eastAsia="微软雅黑" w:hAnsi="微软雅黑" w:cs="微软雅黑" w:hint="eastAsia"/>
          <w:color w:val="1A2733"/>
        </w:rPr>
        <w:lastRenderedPageBreak/>
        <w:t>险的一层，因为最常见的统计方式是「注入了多少条故障」，而注入成功与检出成功是两回事。</w:t>
      </w:r>
    </w:p>
    <w:p w14:paraId="00DA52E8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3.3 </w:t>
      </w:r>
      <w:r>
        <w:rPr>
          <w:rFonts w:ascii="微软雅黑" w:eastAsia="微软雅黑" w:hAnsi="微软雅黑" w:cs="微软雅黑" w:hint="eastAsia"/>
          <w:color w:val="1F4E79"/>
        </w:rPr>
        <w:t>加权覆盖指数</w:t>
      </w:r>
      <w:r>
        <w:rPr>
          <w:rFonts w:ascii="微软雅黑" w:eastAsia="微软雅黑" w:hAnsi="微软雅黑" w:cs="微软雅黑" w:hint="eastAsia"/>
          <w:color w:val="1F4E79"/>
        </w:rPr>
        <w:t xml:space="preserve"> WCI</w:t>
      </w:r>
    </w:p>
    <w:p w14:paraId="52AB4FD8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四层覆盖可以合成为一个便于管理层追踪的单一指数，但权重必须体现「与逃逸率的关联强度」：</w:t>
      </w:r>
    </w:p>
    <w:p w14:paraId="1122E8D7" w14:textId="77777777" w:rsidR="006C1AF3" w:rsidRDefault="004B2385">
      <w:pPr>
        <w:pBdr>
          <w:left w:val="single" w:sz="24" w:space="0" w:color="1F4E79"/>
        </w:pBdr>
        <w:shd w:val="clear" w:color="auto" w:fill="F4F7FA"/>
        <w:spacing w:before="200" w:after="200" w:line="388" w:lineRule="auto"/>
        <w:ind w:left="200" w:right="200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 xml:space="preserve">WCI = 0.20 </w:t>
      </w:r>
      <w:r>
        <w:rPr>
          <w:rFonts w:ascii="微软雅黑" w:eastAsia="微软雅黑" w:hAnsi="微软雅黑" w:cs="微软雅黑" w:hint="eastAsia"/>
          <w:b/>
          <w:color w:val="1F4E79"/>
        </w:rPr>
        <w:t>×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</w:t>
      </w:r>
      <w:r>
        <w:rPr>
          <w:rFonts w:ascii="微软雅黑" w:eastAsia="微软雅黑" w:hAnsi="微软雅黑" w:cs="微软雅黑" w:hint="eastAsia"/>
          <w:b/>
          <w:color w:val="1F4E79"/>
        </w:rPr>
        <w:t>需求覆盖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+ 0.25 </w:t>
      </w:r>
      <w:r>
        <w:rPr>
          <w:rFonts w:ascii="微软雅黑" w:eastAsia="微软雅黑" w:hAnsi="微软雅黑" w:cs="微软雅黑" w:hint="eastAsia"/>
          <w:b/>
          <w:color w:val="1F4E79"/>
        </w:rPr>
        <w:t>×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</w:t>
      </w:r>
      <w:r>
        <w:rPr>
          <w:rFonts w:ascii="微软雅黑" w:eastAsia="微软雅黑" w:hAnsi="微软雅黑" w:cs="微软雅黑" w:hint="eastAsia"/>
          <w:b/>
          <w:color w:val="1F4E79"/>
        </w:rPr>
        <w:t>拓扑覆盖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+ 0.25 </w:t>
      </w:r>
      <w:r>
        <w:rPr>
          <w:rFonts w:ascii="微软雅黑" w:eastAsia="微软雅黑" w:hAnsi="微软雅黑" w:cs="微软雅黑" w:hint="eastAsia"/>
          <w:b/>
          <w:color w:val="1F4E79"/>
        </w:rPr>
        <w:t>×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</w:t>
      </w:r>
      <w:r>
        <w:rPr>
          <w:rFonts w:ascii="微软雅黑" w:eastAsia="微软雅黑" w:hAnsi="微软雅黑" w:cs="微软雅黑" w:hint="eastAsia"/>
          <w:b/>
          <w:color w:val="1F4E79"/>
        </w:rPr>
        <w:t>工况覆盖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+ 0.30 </w:t>
      </w:r>
      <w:r>
        <w:rPr>
          <w:rFonts w:ascii="微软雅黑" w:eastAsia="微软雅黑" w:hAnsi="微软雅黑" w:cs="微软雅黑" w:hint="eastAsia"/>
          <w:b/>
          <w:color w:val="1F4E79"/>
        </w:rPr>
        <w:t>×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</w:t>
      </w:r>
      <w:r>
        <w:rPr>
          <w:rFonts w:ascii="微软雅黑" w:eastAsia="微软雅黑" w:hAnsi="微软雅黑" w:cs="微软雅黑" w:hint="eastAsia"/>
          <w:b/>
          <w:color w:val="1F4E79"/>
        </w:rPr>
        <w:t>故障模式覆盖</w:t>
      </w:r>
    </w:p>
    <w:p w14:paraId="034B371B" w14:textId="77777777" w:rsidR="006C1AF3" w:rsidRDefault="004B2385">
      <w:pPr>
        <w:pBdr>
          <w:left w:val="single" w:sz="24" w:space="0" w:color="1F4E79"/>
        </w:pBdr>
        <w:shd w:val="clear" w:color="auto" w:fill="F4F7FA"/>
        <w:spacing w:before="200" w:after="200" w:line="388" w:lineRule="auto"/>
        <w:ind w:left="200" w:right="200"/>
        <w:jc w:val="both"/>
        <w:rPr>
          <w:color w:val="8C99A6"/>
        </w:rPr>
      </w:pPr>
      <w:r>
        <w:rPr>
          <w:rFonts w:ascii="微软雅黑" w:eastAsia="微软雅黑" w:hAnsi="微软雅黑" w:cs="微软雅黑" w:hint="eastAsia"/>
          <w:color w:val="8C99A6"/>
          <w:sz w:val="18"/>
        </w:rPr>
        <w:t>故障模式权重最高，因为它直接决定逃逸率；需求覆盖权重最低，因为它的分母最容易被编写者调节。</w:t>
      </w:r>
    </w:p>
    <w:p w14:paraId="778DC6B8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建议设置两级门槛：单层不低于</w:t>
      </w:r>
      <w:r>
        <w:rPr>
          <w:rFonts w:ascii="微软雅黑" w:eastAsia="微软雅黑" w:hAnsi="微软雅黑" w:cs="微软雅黑" w:hint="eastAsia"/>
          <w:color w:val="1A2733"/>
        </w:rPr>
        <w:t xml:space="preserve"> 50 </w:t>
      </w:r>
      <w:r>
        <w:rPr>
          <w:rFonts w:ascii="微软雅黑" w:eastAsia="微软雅黑" w:hAnsi="微软雅黑" w:cs="微软雅黑" w:hint="eastAsia"/>
          <w:color w:val="1A2733"/>
        </w:rPr>
        <w:t>分（红线），</w:t>
      </w:r>
      <w:r>
        <w:rPr>
          <w:rFonts w:ascii="微软雅黑" w:eastAsia="微软雅黑" w:hAnsi="微软雅黑" w:cs="微软雅黑" w:hint="eastAsia"/>
          <w:color w:val="1A2733"/>
        </w:rPr>
        <w:t xml:space="preserve">WCI </w:t>
      </w:r>
      <w:r>
        <w:rPr>
          <w:rFonts w:ascii="微软雅黑" w:eastAsia="微软雅黑" w:hAnsi="微软雅黑" w:cs="微软雅黑" w:hint="eastAsia"/>
          <w:color w:val="1A2733"/>
        </w:rPr>
        <w:t>不低于</w:t>
      </w:r>
      <w:r>
        <w:rPr>
          <w:rFonts w:ascii="微软雅黑" w:eastAsia="微软雅黑" w:hAnsi="微软雅黑" w:cs="微软雅黑" w:hint="eastAsia"/>
          <w:color w:val="1A2733"/>
        </w:rPr>
        <w:t xml:space="preserve"> 70 </w:t>
      </w:r>
      <w:r>
        <w:rPr>
          <w:rFonts w:ascii="微软雅黑" w:eastAsia="微软雅黑" w:hAnsi="微软雅黑" w:cs="微软雅黑" w:hint="eastAsia"/>
          <w:color w:val="1A2733"/>
        </w:rPr>
        <w:t>分（总分门槛）。红线的作用是防止「用三层高分掩盖一层的结构性缺失」——这在实践中是最常见的失真方式。</w:t>
      </w:r>
    </w:p>
    <w:p w14:paraId="150D7EBB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3.4 </w:t>
      </w:r>
      <w:r>
        <w:rPr>
          <w:rFonts w:ascii="微软雅黑" w:eastAsia="微软雅黑" w:hAnsi="微软雅黑" w:cs="微软雅黑" w:hint="eastAsia"/>
          <w:color w:val="1F4E79"/>
        </w:rPr>
        <w:t>覆盖率的经济学：为什么不是越高越好</w:t>
      </w:r>
    </w:p>
    <w:p w14:paraId="41C3761E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覆盖率的提升不是免费的。每增加一个工况点、一条故障注入路径、一次全量拓扑扫描，都要付出设备占用、工时与产线节拍。当覆盖率超过某一水平后，边际验证成本会超过边际逃逸成本，总成本转而上升。</w:t>
      </w:r>
    </w:p>
    <w:p w14:paraId="029740DB" w14:textId="77777777" w:rsidR="006C1AF3" w:rsidRDefault="004B2385">
      <w:pPr>
        <w:spacing w:before="240" w:after="240" w:line="388" w:lineRule="auto"/>
        <w:ind w:left="240" w:right="240"/>
        <w:jc w:val="center"/>
        <w:rPr>
          <w:color w:val="1A2733"/>
        </w:rPr>
      </w:pPr>
      <w:r>
        <w:rPr>
          <w:noProof/>
        </w:rPr>
        <w:drawing>
          <wp:inline distT="0" distB="0" distL="0" distR="0" wp14:anchorId="115855CC" wp14:editId="04E025EA">
            <wp:extent cx="5274310" cy="29667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D0DF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图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5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覆盖率与两类成本的关系：交叉点即经济最优点（分析模型示意，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C </w:t>
      </w:r>
      <w:r>
        <w:rPr>
          <w:rFonts w:ascii="微软雅黑" w:eastAsia="微软雅黑" w:hAnsi="微软雅黑" w:cs="微软雅黑" w:hint="eastAsia"/>
          <w:color w:val="5C6B7A"/>
          <w:sz w:val="18"/>
        </w:rPr>
        <w:t>级）</w:t>
      </w:r>
    </w:p>
    <w:p w14:paraId="311CE783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这条曲线的管理价值在于两点。第一，它给出了「不必追求</w:t>
      </w:r>
      <w:r>
        <w:rPr>
          <w:rFonts w:ascii="微软雅黑" w:eastAsia="微软雅黑" w:hAnsi="微软雅黑" w:cs="微软雅黑" w:hint="eastAsia"/>
          <w:color w:val="1A2733"/>
        </w:rPr>
        <w:t xml:space="preserve"> 100%</w:t>
      </w:r>
      <w:r>
        <w:rPr>
          <w:rFonts w:ascii="微软雅黑" w:eastAsia="微软雅黑" w:hAnsi="微软雅黑" w:cs="微软雅黑" w:hint="eastAsia"/>
          <w:color w:val="1A2733"/>
        </w:rPr>
        <w:t>」的理论依据，从而避免团队陷入无限制的测试膨胀。第二，它说明最优点会随产品阶段移动：在量产爬坡期与首批交付期，逃逸成本显著上升</w:t>
      </w:r>
      <w:r>
        <w:rPr>
          <w:rFonts w:ascii="微软雅黑" w:eastAsia="微软雅黑" w:hAnsi="微软雅黑" w:cs="微软雅黑" w:hint="eastAsia"/>
          <w:color w:val="1A2733"/>
        </w:rPr>
        <w:lastRenderedPageBreak/>
        <w:t>（停机窗口稀缺、客户容忍度低），曲线右移，此时应主动提高覆盖率目标；进入稳定量产后，可适度回调。</w:t>
      </w:r>
    </w:p>
    <w:p w14:paraId="3CEA57BE" w14:textId="77777777" w:rsidR="006C1AF3" w:rsidRDefault="004B2385">
      <w:pPr>
        <w:pBdr>
          <w:left w:val="single" w:sz="24" w:space="0" w:color="B8791F"/>
        </w:pBdr>
        <w:shd w:val="clear" w:color="auto" w:fill="FBF3E4"/>
        <w:spacing w:before="200" w:after="200" w:line="388" w:lineRule="auto"/>
        <w:ind w:left="200" w:right="200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注意：</w:t>
      </w:r>
      <w:r>
        <w:rPr>
          <w:rFonts w:ascii="微软雅黑" w:eastAsia="微软雅黑" w:hAnsi="微软雅黑" w:cs="微软雅黑" w:hint="eastAsia"/>
          <w:color w:val="1A2733"/>
        </w:rPr>
        <w:t>上图仅用于说明边际关系，不代表任何具体数值结论。真实的最优点需要用本企业的实际返工成本、停机成本与测试成本重新标定。</w:t>
      </w:r>
    </w:p>
    <w:p w14:paraId="0534F4FC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3.5 </w:t>
      </w:r>
      <w:r>
        <w:rPr>
          <w:rFonts w:ascii="微软雅黑" w:eastAsia="微软雅黑" w:hAnsi="微软雅黑" w:cs="微软雅黑" w:hint="eastAsia"/>
          <w:color w:val="1F4E79"/>
        </w:rPr>
        <w:t>逃逸率：唯一无法伪造的指标</w:t>
      </w:r>
    </w:p>
    <w:p w14:paraId="5BA71CAB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覆盖率是「投入侧」指标，可以被定义方式影响；逃逸率是「结果侧」指标，无法被定义方式影响。因此两者必须成对使用：覆盖率用于过程管理，逃逸率用于结果验收。</w:t>
      </w:r>
    </w:p>
    <w:p w14:paraId="3503C402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建议定义的逃逸率口径为：在</w:t>
      </w:r>
      <w:r>
        <w:rPr>
          <w:rFonts w:ascii="微软雅黑" w:eastAsia="微软雅黑" w:hAnsi="微软雅黑" w:cs="微软雅黑" w:hint="eastAsia"/>
          <w:color w:val="1A2733"/>
        </w:rPr>
        <w:t xml:space="preserve"> L11 </w:t>
      </w:r>
      <w:r>
        <w:rPr>
          <w:rFonts w:ascii="微软雅黑" w:eastAsia="微软雅黑" w:hAnsi="微软雅黑" w:cs="微软雅黑" w:hint="eastAsia"/>
          <w:color w:val="1A2733"/>
        </w:rPr>
        <w:t>之后（即机柜出厂后）发现的、本应由</w:t>
      </w:r>
      <w:r>
        <w:rPr>
          <w:rFonts w:ascii="微软雅黑" w:eastAsia="微软雅黑" w:hAnsi="微软雅黑" w:cs="微软雅黑" w:hint="eastAsia"/>
          <w:color w:val="1A2733"/>
        </w:rPr>
        <w:t xml:space="preserve"> L10 </w:t>
      </w:r>
      <w:r>
        <w:rPr>
          <w:rFonts w:ascii="微软雅黑" w:eastAsia="微软雅黑" w:hAnsi="微软雅黑" w:cs="微软雅黑" w:hint="eastAsia"/>
          <w:color w:val="1A2733"/>
        </w:rPr>
        <w:t>或</w:t>
      </w:r>
      <w:r>
        <w:rPr>
          <w:rFonts w:ascii="微软雅黑" w:eastAsia="微软雅黑" w:hAnsi="微软雅黑" w:cs="微软雅黑" w:hint="eastAsia"/>
          <w:color w:val="1A2733"/>
        </w:rPr>
        <w:t xml:space="preserve"> L11 </w:t>
      </w:r>
      <w:r>
        <w:rPr>
          <w:rFonts w:ascii="微软雅黑" w:eastAsia="微软雅黑" w:hAnsi="微软雅黑" w:cs="微软雅黑" w:hint="eastAsia"/>
          <w:color w:val="1A2733"/>
        </w:rPr>
        <w:t>拦截的缺陷数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÷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t>同期出厂机柜数。这个口径刻意排除了两类干扰项：设计缺陷（应在</w:t>
      </w:r>
      <w:r>
        <w:rPr>
          <w:rFonts w:ascii="微软雅黑" w:eastAsia="微软雅黑" w:hAnsi="微软雅黑" w:cs="微软雅黑" w:hint="eastAsia"/>
          <w:color w:val="1A2733"/>
        </w:rPr>
        <w:t xml:space="preserve"> DVT </w:t>
      </w:r>
      <w:r>
        <w:rPr>
          <w:rFonts w:ascii="微软雅黑" w:eastAsia="微软雅黑" w:hAnsi="微软雅黑" w:cs="微软雅黑" w:hint="eastAsia"/>
          <w:color w:val="1A2733"/>
        </w:rPr>
        <w:t>拦截，不属于制造逃逸）与现场误操作（属于服务流程问题）。剩下的部分，才是制造测试体系的真实失效率。</w:t>
      </w:r>
    </w:p>
    <w:p w14:paraId="6C834C2D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配套还应统计两个二阶指标：</w:t>
      </w:r>
      <w:r>
        <w:rPr>
          <w:rFonts w:ascii="微软雅黑" w:eastAsia="微软雅黑" w:hAnsi="微软雅黑" w:cs="微软雅黑" w:hint="eastAsia"/>
          <w:b/>
          <w:color w:val="1F4E79"/>
        </w:rPr>
        <w:t>误诊率</w:t>
      </w:r>
      <w:r>
        <w:rPr>
          <w:rFonts w:ascii="微软雅黑" w:eastAsia="微软雅黑" w:hAnsi="微软雅黑" w:cs="微软雅黑" w:hint="eastAsia"/>
          <w:color w:val="1A2733"/>
        </w:rPr>
        <w:t>（被判为故障但复测通过的比例）与</w:t>
      </w:r>
      <w:r>
        <w:rPr>
          <w:rFonts w:ascii="微软雅黑" w:eastAsia="微软雅黑" w:hAnsi="微软雅黑" w:cs="微软雅黑" w:hint="eastAsia"/>
          <w:b/>
          <w:color w:val="1F4E79"/>
        </w:rPr>
        <w:t>检出时延</w:t>
      </w:r>
      <w:r>
        <w:rPr>
          <w:rFonts w:ascii="微软雅黑" w:eastAsia="微软雅黑" w:hAnsi="微软雅黑" w:cs="微软雅黑" w:hint="eastAsia"/>
          <w:color w:val="1A2733"/>
        </w:rPr>
        <w:t>（从故障注入到系统告警的时间）。前者反映测试系统的稳定性，后者反映</w:t>
      </w:r>
      <w:r>
        <w:rPr>
          <w:rFonts w:ascii="微软雅黑" w:eastAsia="微软雅黑" w:hAnsi="微软雅黑" w:cs="微软雅黑" w:hint="eastAsia"/>
          <w:color w:val="1A2733"/>
        </w:rPr>
        <w:t xml:space="preserve"> RAS </w:t>
      </w:r>
      <w:r>
        <w:rPr>
          <w:rFonts w:ascii="微软雅黑" w:eastAsia="微软雅黑" w:hAnsi="微软雅黑" w:cs="微软雅黑" w:hint="eastAsia"/>
          <w:color w:val="1A2733"/>
        </w:rPr>
        <w:t>链路的有效性。三者共同构成制造质量的可信度画像。</w:t>
      </w:r>
    </w:p>
    <w:p w14:paraId="040E572F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3.6 </w:t>
      </w:r>
      <w:r>
        <w:rPr>
          <w:rFonts w:ascii="微软雅黑" w:eastAsia="微软雅黑" w:hAnsi="微软雅黑" w:cs="微软雅黑" w:hint="eastAsia"/>
          <w:color w:val="1F4E79"/>
        </w:rPr>
        <w:t>覆盖率治理的三个反模式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824"/>
        <w:gridCol w:w="3489"/>
      </w:tblGrid>
      <w:tr w:rsidR="006C1AF3" w14:paraId="62EDBB9C" w14:textId="77777777">
        <w:trPr>
          <w:cantSplit/>
          <w:tblHeader/>
        </w:trPr>
        <w:tc>
          <w:tcPr>
            <w:tcW w:w="199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334ADD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反模式</w:t>
            </w:r>
          </w:p>
        </w:tc>
        <w:tc>
          <w:tcPr>
            <w:tcW w:w="282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CBE13F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表现</w:t>
            </w:r>
          </w:p>
        </w:tc>
        <w:tc>
          <w:tcPr>
            <w:tcW w:w="348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8CE303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后果与纠正</w:t>
            </w:r>
          </w:p>
        </w:tc>
      </w:tr>
      <w:tr w:rsidR="006C1AF3" w14:paraId="7348A40B" w14:textId="77777777">
        <w:trPr>
          <w:cantSplit/>
        </w:trPr>
        <w:tc>
          <w:tcPr>
            <w:tcW w:w="1993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3417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t>分母膨胀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42EE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为提升覆盖率数字而细化测试项拆分，实际检出能力不变</w:t>
            </w:r>
          </w:p>
        </w:tc>
        <w:tc>
          <w:tcPr>
            <w:tcW w:w="348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738B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覆盖率与逃逸率脱钩，管理层失去判断依据。纠正：固定分母的版本与冻结机制，拆分需走变更评审。</w:t>
            </w:r>
          </w:p>
        </w:tc>
      </w:tr>
      <w:tr w:rsidR="006C1AF3" w14:paraId="10A09370" w14:textId="77777777">
        <w:trPr>
          <w:cantSplit/>
        </w:trPr>
        <w:tc>
          <w:tcPr>
            <w:tcW w:w="1993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A1DB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t>用例空转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3396C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大量用例长期通过，从未被验证「能否失败」</w:t>
            </w:r>
          </w:p>
        </w:tc>
        <w:tc>
          <w:tcPr>
            <w:tcW w:w="348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E9755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形成虚假安全感。纠正：定期做「注入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检出」回归，未通过灵敏度校验的用例不计入分子。</w:t>
            </w:r>
          </w:p>
        </w:tc>
      </w:tr>
      <w:tr w:rsidR="006C1AF3" w14:paraId="3ACFA1D6" w14:textId="77777777">
        <w:trPr>
          <w:cantSplit/>
        </w:trPr>
        <w:tc>
          <w:tcPr>
            <w:tcW w:w="1993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4F75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E79"/>
                <w:sz w:val="18"/>
              </w:rPr>
              <w:t>只测良品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0D125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测试样本全部来自试产良品，从未包含已知缺陷样本</w:t>
            </w:r>
          </w:p>
        </w:tc>
        <w:tc>
          <w:tcPr>
            <w:tcW w:w="348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42F8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无法评估检出能力。纠正：建立缺陷样本库（黄金样本），每轮测试必须混入。</w:t>
            </w:r>
          </w:p>
        </w:tc>
      </w:tr>
    </w:tbl>
    <w:p w14:paraId="4A806223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表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3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覆盖率治理的三个反模式</w:t>
      </w:r>
    </w:p>
    <w:p w14:paraId="3A41B8EC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lastRenderedPageBreak/>
        <w:t>四、线缆验证：</w:t>
      </w:r>
      <w:r>
        <w:rPr>
          <w:rFonts w:ascii="微软雅黑" w:eastAsia="微软雅黑" w:hAnsi="微软雅黑" w:cs="微软雅黑" w:hint="eastAsia"/>
          <w:color w:val="1F4E79"/>
          <w:sz w:val="30"/>
        </w:rPr>
        <w:t xml:space="preserve">AI </w:t>
      </w:r>
      <w:r>
        <w:rPr>
          <w:rFonts w:ascii="微软雅黑" w:eastAsia="微软雅黑" w:hAnsi="微软雅黑" w:cs="微软雅黑" w:hint="eastAsia"/>
          <w:color w:val="1F4E79"/>
          <w:sz w:val="30"/>
        </w:rPr>
        <w:t>机柜最容易被低估的失效面</w:t>
      </w:r>
    </w:p>
    <w:p w14:paraId="06601845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4.1 </w:t>
      </w:r>
      <w:r>
        <w:rPr>
          <w:rFonts w:ascii="微软雅黑" w:eastAsia="微软雅黑" w:hAnsi="微软雅黑" w:cs="微软雅黑" w:hint="eastAsia"/>
          <w:color w:val="1F4E79"/>
        </w:rPr>
        <w:t>为什么把「线缆」单独写进一条评估维度</w:t>
      </w:r>
    </w:p>
    <w:p w14:paraId="2F8FBD13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原文把「线缆与液路」并列为两个必须验证的对象，而不是笼统地写「结构与连接」。这个措辞是有依据的。在</w:t>
      </w:r>
      <w:r>
        <w:rPr>
          <w:rFonts w:ascii="微软雅黑" w:eastAsia="微软雅黑" w:hAnsi="微软雅黑" w:cs="微软雅黑" w:hint="eastAsia"/>
          <w:color w:val="1A2733"/>
        </w:rPr>
        <w:t xml:space="preserve"> OCP </w:t>
      </w:r>
      <w:r>
        <w:rPr>
          <w:rFonts w:ascii="微软雅黑" w:eastAsia="微软雅黑" w:hAnsi="微软雅黑" w:cs="微软雅黑" w:hint="eastAsia"/>
          <w:color w:val="1A2733"/>
        </w:rPr>
        <w:t>的</w:t>
      </w:r>
      <w:r>
        <w:rPr>
          <w:rFonts w:ascii="微软雅黑" w:eastAsia="微软雅黑" w:hAnsi="微软雅黑" w:cs="微软雅黑" w:hint="eastAsia"/>
          <w:color w:val="1A2733"/>
        </w:rPr>
        <w:t xml:space="preserve"> L11 </w:t>
      </w:r>
      <w:r>
        <w:rPr>
          <w:rFonts w:ascii="微软雅黑" w:eastAsia="微软雅黑" w:hAnsi="微软雅黑" w:cs="微软雅黑" w:hint="eastAsia"/>
          <w:color w:val="1A2733"/>
        </w:rPr>
        <w:t>定义中，唯一被点名说明「能抓到什么」的失效类型，就是铜缆卡匣的就位错误与线束错误——原文表述为「</w:t>
      </w:r>
      <w:r>
        <w:rPr>
          <w:rFonts w:ascii="微软雅黑" w:eastAsia="微软雅黑" w:hAnsi="微软雅黑" w:cs="微软雅黑" w:hint="eastAsia"/>
          <w:color w:val="1A2733"/>
        </w:rPr>
        <w:t>Catches copper cartridge seating / bundle errors</w:t>
      </w:r>
      <w:r>
        <w:rPr>
          <w:rFonts w:ascii="微软雅黑" w:eastAsia="微软雅黑" w:hAnsi="微软雅黑" w:cs="微软雅黑" w:hint="eastAsia"/>
          <w:color w:val="1A2733"/>
        </w:rPr>
        <w:t>」。</w:t>
      </w:r>
    </w:p>
    <w:p w14:paraId="3855499C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之所以要在</w:t>
      </w:r>
      <w:r>
        <w:rPr>
          <w:rFonts w:ascii="微软雅黑" w:eastAsia="微软雅黑" w:hAnsi="微软雅黑" w:cs="微软雅黑" w:hint="eastAsia"/>
          <w:color w:val="1A2733"/>
        </w:rPr>
        <w:t xml:space="preserve"> L11 </w:t>
      </w:r>
      <w:r>
        <w:rPr>
          <w:rFonts w:ascii="微软雅黑" w:eastAsia="微软雅黑" w:hAnsi="微软雅黑" w:cs="微软雅黑" w:hint="eastAsia"/>
          <w:color w:val="1A2733"/>
        </w:rPr>
        <w:t>单独强调，是因为在当前的超节点架构下，机柜内部的铜缆连接已经从「配件」上升为「互连主体」。以典型的</w:t>
      </w:r>
      <w:r>
        <w:rPr>
          <w:rFonts w:ascii="微软雅黑" w:eastAsia="微软雅黑" w:hAnsi="微软雅黑" w:cs="微软雅黑" w:hint="eastAsia"/>
          <w:color w:val="1A2733"/>
        </w:rPr>
        <w:t xml:space="preserve"> 72 </w:t>
      </w:r>
      <w:r>
        <w:rPr>
          <w:rFonts w:ascii="微软雅黑" w:eastAsia="微软雅黑" w:hAnsi="微软雅黑" w:cs="微软雅黑" w:hint="eastAsia"/>
          <w:color w:val="1A2733"/>
        </w:rPr>
        <w:t>卡</w:t>
      </w:r>
      <w:r>
        <w:rPr>
          <w:rFonts w:ascii="微软雅黑" w:eastAsia="微软雅黑" w:hAnsi="微软雅黑" w:cs="微软雅黑" w:hint="eastAsia"/>
          <w:color w:val="1A2733"/>
        </w:rPr>
        <w:t xml:space="preserve"> NVLink </w:t>
      </w:r>
      <w:r>
        <w:rPr>
          <w:rFonts w:ascii="微软雅黑" w:eastAsia="微软雅黑" w:hAnsi="微软雅黑" w:cs="微软雅黑" w:hint="eastAsia"/>
          <w:color w:val="1A2733"/>
        </w:rPr>
        <w:t>机柜为例，</w:t>
      </w:r>
      <w:r>
        <w:rPr>
          <w:rFonts w:ascii="微软雅黑" w:eastAsia="微软雅黑" w:hAnsi="微软雅黑" w:cs="微软雅黑" w:hint="eastAsia"/>
          <w:color w:val="1A2733"/>
        </w:rPr>
        <w:t xml:space="preserve">18 </w:t>
      </w:r>
      <w:r>
        <w:rPr>
          <w:rFonts w:ascii="微软雅黑" w:eastAsia="微软雅黑" w:hAnsi="微软雅黑" w:cs="微软雅黑" w:hint="eastAsia"/>
          <w:color w:val="1A2733"/>
        </w:rPr>
        <w:t>台计算托盘与</w:t>
      </w:r>
      <w:r>
        <w:rPr>
          <w:rFonts w:ascii="微软雅黑" w:eastAsia="微软雅黑" w:hAnsi="微软雅黑" w:cs="微软雅黑" w:hint="eastAsia"/>
          <w:color w:val="1A2733"/>
        </w:rPr>
        <w:t xml:space="preserve"> 9 </w:t>
      </w:r>
      <w:r>
        <w:rPr>
          <w:rFonts w:ascii="微软雅黑" w:eastAsia="微软雅黑" w:hAnsi="微软雅黑" w:cs="微软雅黑" w:hint="eastAsia"/>
          <w:color w:val="1A2733"/>
        </w:rPr>
        <w:t>台交换托盘之间通过线缆卡匣形成全互连；国内公开的超节点方案中，单柜已出现</w:t>
      </w:r>
      <w:r>
        <w:rPr>
          <w:rFonts w:ascii="微软雅黑" w:eastAsia="微软雅黑" w:hAnsi="微软雅黑" w:cs="微软雅黑" w:hint="eastAsia"/>
          <w:color w:val="1A2733"/>
        </w:rPr>
        <w:t xml:space="preserve"> 36 </w:t>
      </w:r>
      <w:r>
        <w:rPr>
          <w:rFonts w:ascii="微软雅黑" w:eastAsia="微软雅黑" w:hAnsi="微软雅黑" w:cs="微软雅黑" w:hint="eastAsia"/>
          <w:color w:val="1A2733"/>
        </w:rPr>
        <w:t>台</w:t>
      </w:r>
      <w:r>
        <w:rPr>
          <w:rFonts w:ascii="微软雅黑" w:eastAsia="微软雅黑" w:hAnsi="微软雅黑" w:cs="微软雅黑" w:hint="eastAsia"/>
          <w:color w:val="1A2733"/>
        </w:rPr>
        <w:t xml:space="preserve"> XPU </w:t>
      </w:r>
      <w:r>
        <w:rPr>
          <w:rFonts w:ascii="微软雅黑" w:eastAsia="微软雅黑" w:hAnsi="微软雅黑" w:cs="微软雅黑" w:hint="eastAsia"/>
          <w:color w:val="1A2733"/>
        </w:rPr>
        <w:t>托盘加</w:t>
      </w:r>
      <w:r>
        <w:rPr>
          <w:rFonts w:ascii="微软雅黑" w:eastAsia="微软雅黑" w:hAnsi="微软雅黑" w:cs="微软雅黑" w:hint="eastAsia"/>
          <w:color w:val="1A2733"/>
        </w:rPr>
        <w:t xml:space="preserve"> 16 </w:t>
      </w:r>
      <w:r>
        <w:rPr>
          <w:rFonts w:ascii="微软雅黑" w:eastAsia="微软雅黑" w:hAnsi="微软雅黑" w:cs="微软雅黑" w:hint="eastAsia"/>
          <w:color w:val="1A2733"/>
        </w:rPr>
        <w:t>台交换托盘、</w:t>
      </w:r>
      <w:r>
        <w:rPr>
          <w:rFonts w:ascii="微软雅黑" w:eastAsia="微软雅黑" w:hAnsi="微软雅黑" w:cs="微软雅黑" w:hint="eastAsia"/>
          <w:color w:val="1A2733"/>
        </w:rPr>
        <w:t xml:space="preserve">4 </w:t>
      </w:r>
      <w:r>
        <w:rPr>
          <w:rFonts w:ascii="微软雅黑" w:eastAsia="微软雅黑" w:hAnsi="微软雅黑" w:cs="微软雅黑" w:hint="eastAsia"/>
          <w:color w:val="1A2733"/>
        </w:rPr>
        <w:t>组</w:t>
      </w:r>
      <w:r>
        <w:rPr>
          <w:rFonts w:ascii="微软雅黑" w:eastAsia="微软雅黑" w:hAnsi="微软雅黑" w:cs="微软雅黑" w:hint="eastAsia"/>
          <w:color w:val="1A2733"/>
        </w:rPr>
        <w:t xml:space="preserve"> cable tray </w:t>
      </w:r>
      <w:r>
        <w:rPr>
          <w:rFonts w:ascii="微软雅黑" w:eastAsia="微软雅黑" w:hAnsi="微软雅黑" w:cs="微软雅黑" w:hint="eastAsia"/>
          <w:color w:val="1A2733"/>
        </w:rPr>
        <w:t>的形态。连接点数量随节点数呈平方级增长，任何一个连接器的微米级偏移都可能表现为一条链路的间歇性误码。</w:t>
      </w:r>
    </w:p>
    <w:p w14:paraId="3AF5B8FE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4.2 </w:t>
      </w:r>
      <w:r>
        <w:rPr>
          <w:rFonts w:ascii="微软雅黑" w:eastAsia="微软雅黑" w:hAnsi="微软雅黑" w:cs="微软雅黑" w:hint="eastAsia"/>
          <w:color w:val="1F4E79"/>
        </w:rPr>
        <w:t>三类线缆失效的物理机理</w:t>
      </w:r>
    </w:p>
    <w:p w14:paraId="7FC6C182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第一类，装配态失效。</w:t>
      </w:r>
      <w:r>
        <w:rPr>
          <w:rFonts w:ascii="微软雅黑" w:eastAsia="微软雅黑" w:hAnsi="微软雅黑" w:cs="微软雅黑" w:hint="eastAsia"/>
          <w:color w:val="1A2733"/>
        </w:rPr>
        <w:t>连接器未完全就位、卡匣未压到底、线束错插或漏插。这类失效的特征是「电气上可能仍然连通」，因此上电自检、链路训练都可能通过，但在高负载或温度循环后表现为误码或降速。这正是</w:t>
      </w:r>
      <w:r>
        <w:rPr>
          <w:rFonts w:ascii="微软雅黑" w:eastAsia="微软雅黑" w:hAnsi="微软雅黑" w:cs="微软雅黑" w:hint="eastAsia"/>
          <w:color w:val="1A2733"/>
        </w:rPr>
        <w:t xml:space="preserve"> L10 </w:t>
      </w:r>
      <w:r>
        <w:rPr>
          <w:rFonts w:ascii="微软雅黑" w:eastAsia="微软雅黑" w:hAnsi="微软雅黑" w:cs="微软雅黑" w:hint="eastAsia"/>
          <w:color w:val="1A2733"/>
        </w:rPr>
        <w:t>无法覆盖、必须由</w:t>
      </w:r>
      <w:r>
        <w:rPr>
          <w:rFonts w:ascii="微软雅黑" w:eastAsia="微软雅黑" w:hAnsi="微软雅黑" w:cs="微软雅黑" w:hint="eastAsia"/>
          <w:color w:val="1A2733"/>
        </w:rPr>
        <w:t xml:space="preserve"> L11 </w:t>
      </w:r>
      <w:r>
        <w:rPr>
          <w:rFonts w:ascii="微软雅黑" w:eastAsia="微软雅黑" w:hAnsi="微软雅黑" w:cs="微软雅黑" w:hint="eastAsia"/>
          <w:color w:val="1A2733"/>
        </w:rPr>
        <w:t>拦截的部分。</w:t>
      </w:r>
    </w:p>
    <w:p w14:paraId="06FAA53F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第二类，参数态失效。</w:t>
      </w:r>
      <w:r>
        <w:rPr>
          <w:rFonts w:ascii="微软雅黑" w:eastAsia="微软雅黑" w:hAnsi="微软雅黑" w:cs="微软雅黑" w:hint="eastAsia"/>
          <w:color w:val="1A2733"/>
        </w:rPr>
        <w:t>阻抗不连续、插入损耗超预算、串扰超标。这类失效源自线材、连接器或压接工艺的偏差，可以在组件级用</w:t>
      </w:r>
      <w:r>
        <w:rPr>
          <w:rFonts w:ascii="微软雅黑" w:eastAsia="微软雅黑" w:hAnsi="微软雅黑" w:cs="微软雅黑" w:hint="eastAsia"/>
          <w:color w:val="1A2733"/>
        </w:rPr>
        <w:t xml:space="preserve"> TDR / VNA </w:t>
      </w:r>
      <w:r>
        <w:rPr>
          <w:rFonts w:ascii="微软雅黑" w:eastAsia="微软雅黑" w:hAnsi="微软雅黑" w:cs="微软雅黑" w:hint="eastAsia"/>
          <w:color w:val="1A2733"/>
        </w:rPr>
        <w:t>检出，但如果只做抽样，仍会漏掉批次内的分布尾部。</w:t>
      </w:r>
    </w:p>
    <w:p w14:paraId="58A20FAB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第三类，寿命态失效。</w:t>
      </w:r>
      <w:r>
        <w:rPr>
          <w:rFonts w:ascii="微软雅黑" w:eastAsia="微软雅黑" w:hAnsi="微软雅黑" w:cs="微软雅黑" w:hint="eastAsia"/>
          <w:color w:val="1A2733"/>
        </w:rPr>
        <w:t>端子压接不良在微动与热循环下逐步劣化、弯折半径不足导致导体疲劳、屏蔽接地不良在长期振动后显现。这类失效在出厂时完全正常，只在数月后暴露，是现场返修的主要来源之一。</w:t>
      </w:r>
    </w:p>
    <w:p w14:paraId="5C3FEC49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4.3 </w:t>
      </w:r>
      <w:r>
        <w:rPr>
          <w:rFonts w:ascii="微软雅黑" w:eastAsia="微软雅黑" w:hAnsi="微软雅黑" w:cs="微软雅黑" w:hint="eastAsia"/>
          <w:color w:val="1F4E79"/>
        </w:rPr>
        <w:t>检测手段与失效模式的对应关系</w:t>
      </w:r>
    </w:p>
    <w:p w14:paraId="1B588C35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把三类失效与六种检测手段做交叉，会看到一个清晰的结论：来料态检测（</w:t>
      </w:r>
      <w:r>
        <w:rPr>
          <w:rFonts w:ascii="微软雅黑" w:eastAsia="微软雅黑" w:hAnsi="微软雅黑" w:cs="微软雅黑" w:hint="eastAsia"/>
          <w:color w:val="1A2733"/>
        </w:rPr>
        <w:t>IQC</w:t>
      </w:r>
      <w:r>
        <w:rPr>
          <w:rFonts w:ascii="微软雅黑" w:eastAsia="微软雅黑" w:hAnsi="微软雅黑" w:cs="微软雅黑" w:hint="eastAsia"/>
          <w:color w:val="1A2733"/>
        </w:rPr>
        <w:t>、组件级</w:t>
      </w:r>
      <w:r>
        <w:rPr>
          <w:rFonts w:ascii="微软雅黑" w:eastAsia="微软雅黑" w:hAnsi="微软雅黑" w:cs="微软雅黑" w:hint="eastAsia"/>
          <w:color w:val="1A2733"/>
        </w:rPr>
        <w:t xml:space="preserve"> TDR</w:t>
      </w:r>
      <w:r>
        <w:rPr>
          <w:rFonts w:ascii="微软雅黑" w:eastAsia="微软雅黑" w:hAnsi="微软雅黑" w:cs="微软雅黑" w:hint="eastAsia"/>
          <w:color w:val="1A2733"/>
        </w:rPr>
        <w:t>）在参数态失效上很强，但在装配态失效上几乎无效；只有装配态检查、链路训练与业务级测试才能覆盖装配态；而</w:t>
      </w:r>
      <w:r>
        <w:rPr>
          <w:rFonts w:ascii="微软雅黑" w:eastAsia="微软雅黑" w:hAnsi="微软雅黑" w:cs="微软雅黑" w:hint="eastAsia"/>
          <w:color w:val="1A2733"/>
        </w:rPr>
        <w:lastRenderedPageBreak/>
        <w:t>寿命态只能靠加速试验外推。</w:t>
      </w:r>
    </w:p>
    <w:p w14:paraId="2F077F02" w14:textId="77777777" w:rsidR="006C1AF3" w:rsidRDefault="004B2385">
      <w:pPr>
        <w:spacing w:before="240" w:after="240" w:line="388" w:lineRule="auto"/>
        <w:ind w:left="240" w:right="240"/>
        <w:jc w:val="center"/>
        <w:rPr>
          <w:color w:val="1A2733"/>
        </w:rPr>
      </w:pPr>
      <w:r>
        <w:rPr>
          <w:noProof/>
        </w:rPr>
        <w:drawing>
          <wp:inline distT="0" distB="0" distL="0" distR="0" wp14:anchorId="261B3B54" wp14:editId="7DBFDDA1">
            <wp:extent cx="5274310" cy="29667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3A94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图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6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线缆失效模式与检测手段的对应矩阵（深色为决定性检出，浅色为有限或间接）</w:t>
      </w:r>
    </w:p>
    <w:p w14:paraId="16F42B37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这张矩阵可以直接转化为测试计划的设计规则：</w:t>
      </w:r>
      <w:r>
        <w:rPr>
          <w:rFonts w:ascii="微软雅黑" w:eastAsia="微软雅黑" w:hAnsi="微软雅黑" w:cs="微软雅黑" w:hint="eastAsia"/>
          <w:b/>
          <w:color w:val="1F4E79"/>
        </w:rPr>
        <w:t>不允许任何一类失效模式只有单一检测手段覆盖</w:t>
      </w:r>
      <w:r>
        <w:rPr>
          <w:rFonts w:ascii="微软雅黑" w:eastAsia="微软雅黑" w:hAnsi="微软雅黑" w:cs="微软雅黑" w:hint="eastAsia"/>
          <w:color w:val="1A2733"/>
        </w:rPr>
        <w:t>；</w:t>
      </w:r>
      <w:r>
        <w:rPr>
          <w:rFonts w:ascii="微软雅黑" w:eastAsia="微软雅黑" w:hAnsi="微软雅黑" w:cs="微软雅黑" w:hint="eastAsia"/>
          <w:b/>
          <w:color w:val="1F4E79"/>
        </w:rPr>
        <w:t>装配态失效必须至少有两个独立手段交叉验证</w:t>
      </w:r>
      <w:r>
        <w:rPr>
          <w:rFonts w:ascii="微软雅黑" w:eastAsia="微软雅黑" w:hAnsi="微软雅黑" w:cs="微软雅黑" w:hint="eastAsia"/>
          <w:color w:val="1A2733"/>
        </w:rPr>
        <w:t>（例如就位互锁信号</w:t>
      </w:r>
      <w:r>
        <w:rPr>
          <w:rFonts w:ascii="微软雅黑" w:eastAsia="微软雅黑" w:hAnsi="微软雅黑" w:cs="微软雅黑" w:hint="eastAsia"/>
          <w:color w:val="1A2733"/>
        </w:rPr>
        <w:t xml:space="preserve"> + </w:t>
      </w:r>
      <w:r>
        <w:rPr>
          <w:rFonts w:ascii="微软雅黑" w:eastAsia="微软雅黑" w:hAnsi="微软雅黑" w:cs="微软雅黑" w:hint="eastAsia"/>
          <w:color w:val="1A2733"/>
        </w:rPr>
        <w:t>链路误码计数）；</w:t>
      </w:r>
      <w:r>
        <w:rPr>
          <w:rFonts w:ascii="微软雅黑" w:eastAsia="微软雅黑" w:hAnsi="微软雅黑" w:cs="微软雅黑" w:hint="eastAsia"/>
          <w:b/>
          <w:color w:val="1F4E79"/>
        </w:rPr>
        <w:t>寿命态失效必须有独立的加速试验条目</w:t>
      </w:r>
      <w:r>
        <w:rPr>
          <w:rFonts w:ascii="微软雅黑" w:eastAsia="微软雅黑" w:hAnsi="微软雅黑" w:cs="微软雅黑" w:hint="eastAsia"/>
          <w:color w:val="1A2733"/>
        </w:rPr>
        <w:t>，不能以出厂测试通过代替。</w:t>
      </w:r>
    </w:p>
    <w:p w14:paraId="302AA297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4.4 </w:t>
      </w:r>
      <w:r>
        <w:rPr>
          <w:rFonts w:ascii="微软雅黑" w:eastAsia="微软雅黑" w:hAnsi="微软雅黑" w:cs="微软雅黑" w:hint="eastAsia"/>
          <w:color w:val="1F4E79"/>
        </w:rPr>
        <w:t>线缆验证的五个层级与判据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159"/>
        <w:gridCol w:w="2491"/>
        <w:gridCol w:w="2494"/>
      </w:tblGrid>
      <w:tr w:rsidR="006C1AF3" w14:paraId="7A514691" w14:textId="77777777">
        <w:trPr>
          <w:cantSplit/>
          <w:tblHeader/>
        </w:trPr>
        <w:tc>
          <w:tcPr>
            <w:tcW w:w="116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AC4AE0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层级</w:t>
            </w:r>
          </w:p>
        </w:tc>
        <w:tc>
          <w:tcPr>
            <w:tcW w:w="215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C17347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验证内容</w:t>
            </w:r>
          </w:p>
        </w:tc>
        <w:tc>
          <w:tcPr>
            <w:tcW w:w="249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704708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关键判据</w:t>
            </w:r>
          </w:p>
        </w:tc>
        <w:tc>
          <w:tcPr>
            <w:tcW w:w="249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61C863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常见缺口</w:t>
            </w:r>
          </w:p>
        </w:tc>
      </w:tr>
      <w:tr w:rsidR="006C1AF3" w14:paraId="47496A3C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D294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来料</w:t>
            </w:r>
          </w:p>
        </w:tc>
        <w:tc>
          <w:tcPr>
            <w:tcW w:w="215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470C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线材规格、连接器尺寸、镀层、外观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6D3FC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尺寸公差、镀层厚度、批次一致性</w:t>
            </w:r>
          </w:p>
        </w:tc>
        <w:tc>
          <w:tcPr>
            <w:tcW w:w="249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F610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只验合格证，不做批次抽测</w:t>
            </w:r>
          </w:p>
        </w:tc>
      </w:tr>
      <w:tr w:rsidR="006C1AF3" w14:paraId="6A89C0C9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D57D6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组件</w:t>
            </w:r>
          </w:p>
        </w:tc>
        <w:tc>
          <w:tcPr>
            <w:tcW w:w="215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F96F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TDR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阻抗曲线、插入损耗、串扰、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S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参数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0577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阻抗不连续点位置与幅值、插损余量</w:t>
            </w:r>
          </w:p>
        </w:tc>
        <w:tc>
          <w:tcPr>
            <w:tcW w:w="249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8CEF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只测典型链路，不测分布尾部</w:t>
            </w:r>
          </w:p>
        </w:tc>
      </w:tr>
      <w:tr w:rsidR="006C1AF3" w14:paraId="244955E2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5C90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装配</w:t>
            </w:r>
          </w:p>
        </w:tc>
        <w:tc>
          <w:tcPr>
            <w:tcW w:w="215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E85A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卡匣就位、线束走向、弯折半径、锁扣状态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A75F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就位信号、目检记录、互锁状态</w:t>
            </w:r>
          </w:p>
        </w:tc>
        <w:tc>
          <w:tcPr>
            <w:tcW w:w="249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D63C6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依赖人工目检，无量化记录</w:t>
            </w:r>
          </w:p>
        </w:tc>
      </w:tr>
      <w:tr w:rsidR="006C1AF3" w14:paraId="789C5ECF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0865C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系统</w:t>
            </w:r>
          </w:p>
        </w:tc>
        <w:tc>
          <w:tcPr>
            <w:tcW w:w="215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F474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链路训练、误码计数、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FEC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纠错统计、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NCCL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集合通信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EFA36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误码率、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FEC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命中率、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all-reduce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的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busbw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与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#wrong</w:t>
            </w:r>
          </w:p>
        </w:tc>
        <w:tc>
          <w:tcPr>
            <w:tcW w:w="249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1CE1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只看连通性，不看误码余量</w:t>
            </w:r>
          </w:p>
        </w:tc>
      </w:tr>
      <w:tr w:rsidR="006C1AF3" w14:paraId="6D7614CE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E2137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寿命</w:t>
            </w:r>
          </w:p>
        </w:tc>
        <w:tc>
          <w:tcPr>
            <w:tcW w:w="215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CF1C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插拔寿命、热循环、随机振动、机械扰动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34A7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插拔次数后的插损漂移、温循后的误码变化</w:t>
            </w:r>
          </w:p>
        </w:tc>
        <w:tc>
          <w:tcPr>
            <w:tcW w:w="249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D5AE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完全缺失，或以整机振动代替</w:t>
            </w:r>
          </w:p>
        </w:tc>
      </w:tr>
    </w:tbl>
    <w:p w14:paraId="66091373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lastRenderedPageBreak/>
        <w:t>表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4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线缆验证的五个层级与判据</w:t>
      </w:r>
    </w:p>
    <w:p w14:paraId="053C2349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其中系统层的一个细节值得特别强调。</w:t>
      </w:r>
      <w:r>
        <w:rPr>
          <w:rFonts w:ascii="微软雅黑" w:eastAsia="微软雅黑" w:hAnsi="微软雅黑" w:cs="微软雅黑" w:hint="eastAsia"/>
          <w:color w:val="1A2733"/>
        </w:rPr>
        <w:t xml:space="preserve">OCP </w:t>
      </w:r>
      <w:r>
        <w:rPr>
          <w:rFonts w:ascii="微软雅黑" w:eastAsia="微软雅黑" w:hAnsi="微软雅黑" w:cs="微软雅黑" w:hint="eastAsia"/>
          <w:color w:val="1A2733"/>
        </w:rPr>
        <w:t>议题给出的</w:t>
      </w:r>
      <w:r>
        <w:rPr>
          <w:rFonts w:ascii="微软雅黑" w:eastAsia="微软雅黑" w:hAnsi="微软雅黑" w:cs="微软雅黑" w:hint="eastAsia"/>
          <w:color w:val="1A2733"/>
        </w:rPr>
        <w:t xml:space="preserve"> NCCL </w:t>
      </w:r>
      <w:r>
        <w:rPr>
          <w:rFonts w:ascii="微软雅黑" w:eastAsia="微软雅黑" w:hAnsi="微软雅黑" w:cs="微软雅黑" w:hint="eastAsia"/>
          <w:color w:val="1A2733"/>
        </w:rPr>
        <w:t>测试结果样例中，明确区分了三个指标：</w:t>
      </w:r>
      <w:r>
        <w:rPr>
          <w:rFonts w:ascii="微软雅黑" w:eastAsia="微软雅黑" w:hAnsi="微软雅黑" w:cs="微软雅黑" w:hint="eastAsia"/>
          <w:color w:val="1A2733"/>
        </w:rPr>
        <w:t>algbw</w:t>
      </w:r>
      <w:r>
        <w:rPr>
          <w:rFonts w:ascii="微软雅黑" w:eastAsia="微软雅黑" w:hAnsi="微软雅黑" w:cs="微软雅黑" w:hint="eastAsia"/>
          <w:color w:val="1A2733"/>
        </w:rPr>
        <w:t>（算法带宽）、</w:t>
      </w:r>
      <w:r>
        <w:rPr>
          <w:rFonts w:ascii="微软雅黑" w:eastAsia="微软雅黑" w:hAnsi="微软雅黑" w:cs="微软雅黑" w:hint="eastAsia"/>
          <w:color w:val="1A2733"/>
        </w:rPr>
        <w:t>busbw</w:t>
      </w:r>
      <w:r>
        <w:rPr>
          <w:rFonts w:ascii="微软雅黑" w:eastAsia="微软雅黑" w:hAnsi="微软雅黑" w:cs="微软雅黑" w:hint="eastAsia"/>
          <w:color w:val="1A2733"/>
        </w:rPr>
        <w:t>（总线带宽）与</w:t>
      </w:r>
      <w:r>
        <w:rPr>
          <w:rFonts w:ascii="微软雅黑" w:eastAsia="微软雅黑" w:hAnsi="微软雅黑" w:cs="微软雅黑" w:hint="eastAsia"/>
          <w:color w:val="1A2733"/>
        </w:rPr>
        <w:t xml:space="preserve"> #wrong</w:t>
      </w:r>
      <w:r>
        <w:rPr>
          <w:rFonts w:ascii="微软雅黑" w:eastAsia="微软雅黑" w:hAnsi="微软雅黑" w:cs="微软雅黑" w:hint="eastAsia"/>
          <w:color w:val="1A2733"/>
        </w:rPr>
        <w:t>（校验失败数）。议题的注解指出，</w:t>
      </w:r>
      <w:r>
        <w:rPr>
          <w:rFonts w:ascii="微软雅黑" w:eastAsia="微软雅黑" w:hAnsi="微软雅黑" w:cs="微软雅黑" w:hint="eastAsia"/>
          <w:color w:val="1A2733"/>
        </w:rPr>
        <w:t xml:space="preserve">busbw </w:t>
      </w:r>
      <w:r>
        <w:rPr>
          <w:rFonts w:ascii="微软雅黑" w:eastAsia="微软雅黑" w:hAnsi="微软雅黑" w:cs="微软雅黑" w:hint="eastAsia"/>
          <w:color w:val="1A2733"/>
        </w:rPr>
        <w:t>才是反映网卡实际利用率的指标，而</w:t>
      </w:r>
      <w:r>
        <w:rPr>
          <w:rFonts w:ascii="微软雅黑" w:eastAsia="微软雅黑" w:hAnsi="微软雅黑" w:cs="微软雅黑" w:hint="eastAsia"/>
          <w:color w:val="1A2733"/>
        </w:rPr>
        <w:t xml:space="preserve"> #wrong </w:t>
      </w:r>
      <w:r>
        <w:rPr>
          <w:rFonts w:ascii="微软雅黑" w:eastAsia="微软雅黑" w:hAnsi="微软雅黑" w:cs="微软雅黑" w:hint="eastAsia"/>
          <w:color w:val="1A2733"/>
        </w:rPr>
        <w:t>必须为</w:t>
      </w:r>
      <w:r>
        <w:rPr>
          <w:rFonts w:ascii="微软雅黑" w:eastAsia="微软雅黑" w:hAnsi="微软雅黑" w:cs="微软雅黑" w:hint="eastAsia"/>
          <w:color w:val="1A2733"/>
        </w:rPr>
        <w:t xml:space="preserve"> 0</w:t>
      </w:r>
      <w:r>
        <w:rPr>
          <w:rFonts w:ascii="微软雅黑" w:eastAsia="微软雅黑" w:hAnsi="微软雅黑" w:cs="微软雅黑" w:hint="eastAsia"/>
          <w:color w:val="1A2733"/>
        </w:rPr>
        <w:t>——非零意味着数据损坏，通常指向坏网卡、坏线缆或有丢包的</w:t>
      </w:r>
      <w:r>
        <w:rPr>
          <w:rFonts w:ascii="微软雅黑" w:eastAsia="微软雅黑" w:hAnsi="微软雅黑" w:cs="微软雅黑" w:hint="eastAsia"/>
          <w:color w:val="1A2733"/>
        </w:rPr>
        <w:t xml:space="preserve"> fabric</w:t>
      </w:r>
      <w:r>
        <w:rPr>
          <w:rFonts w:ascii="微软雅黑" w:eastAsia="微软雅黑" w:hAnsi="微软雅黑" w:cs="微软雅黑" w:hint="eastAsia"/>
          <w:color w:val="1A2733"/>
        </w:rPr>
        <w:t>。这条注解实际上给出了线缆验证的最终判据：</w:t>
      </w:r>
      <w:r>
        <w:rPr>
          <w:rFonts w:ascii="微软雅黑" w:eastAsia="微软雅黑" w:hAnsi="微软雅黑" w:cs="微软雅黑" w:hint="eastAsia"/>
          <w:b/>
          <w:color w:val="1F4E79"/>
        </w:rPr>
        <w:t>不是「跑通了」，而是「在满负载下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busbw </w:t>
      </w:r>
      <w:r>
        <w:rPr>
          <w:rFonts w:ascii="微软雅黑" w:eastAsia="微软雅黑" w:hAnsi="微软雅黑" w:cs="微软雅黑" w:hint="eastAsia"/>
          <w:b/>
          <w:color w:val="1F4E79"/>
        </w:rPr>
        <w:t>达标且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#wrong </w:t>
      </w:r>
      <w:r>
        <w:rPr>
          <w:rFonts w:ascii="微软雅黑" w:eastAsia="微软雅黑" w:hAnsi="微软雅黑" w:cs="微软雅黑" w:hint="eastAsia"/>
          <w:b/>
          <w:color w:val="1F4E79"/>
        </w:rPr>
        <w:t>恒为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0</w:t>
      </w:r>
      <w:r>
        <w:rPr>
          <w:rFonts w:ascii="微软雅黑" w:eastAsia="微软雅黑" w:hAnsi="微软雅黑" w:cs="微软雅黑" w:hint="eastAsia"/>
          <w:b/>
          <w:color w:val="1F4E79"/>
        </w:rPr>
        <w:t>」</w:t>
      </w:r>
      <w:r>
        <w:rPr>
          <w:rFonts w:ascii="微软雅黑" w:eastAsia="微软雅黑" w:hAnsi="微软雅黑" w:cs="微软雅黑" w:hint="eastAsia"/>
          <w:color w:val="1A2733"/>
        </w:rPr>
        <w:t>。</w:t>
      </w:r>
    </w:p>
    <w:p w14:paraId="6F224856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4.5 </w:t>
      </w:r>
      <w:r>
        <w:rPr>
          <w:rFonts w:ascii="微软雅黑" w:eastAsia="微软雅黑" w:hAnsi="微软雅黑" w:cs="微软雅黑" w:hint="eastAsia"/>
          <w:color w:val="1F4E79"/>
        </w:rPr>
        <w:t>供应链侧的证据要求</w:t>
      </w:r>
    </w:p>
    <w:p w14:paraId="113DFA84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线缆是典型的外购件，其质量证据必须来自供应商而非整机厂。</w:t>
      </w:r>
      <w:r>
        <w:rPr>
          <w:rFonts w:ascii="微软雅黑" w:eastAsia="微软雅黑" w:hAnsi="微软雅黑" w:cs="微软雅黑" w:hint="eastAsia"/>
          <w:color w:val="1A2733"/>
        </w:rPr>
        <w:t xml:space="preserve">2026 OCP China Day </w:t>
      </w:r>
      <w:r>
        <w:rPr>
          <w:rFonts w:ascii="微软雅黑" w:eastAsia="微软雅黑" w:hAnsi="微软雅黑" w:cs="微软雅黑" w:hint="eastAsia"/>
          <w:color w:val="1A2733"/>
        </w:rPr>
        <w:t>上，高速互连供应商披露的做法提供了可参照的基线：设计端做浮动设计与布线仿真、极限测试与长期可靠性试验；制造端做全流程监控（来料、设备、加工、检验、排产、出货六段）与关键工序检测；检测端做</w:t>
      </w:r>
      <w:r>
        <w:rPr>
          <w:rFonts w:ascii="微软雅黑" w:eastAsia="微软雅黑" w:hAnsi="微软雅黑" w:cs="微软雅黑" w:hint="eastAsia"/>
          <w:b/>
          <w:color w:val="1F4E79"/>
        </w:rPr>
        <w:t>托盘级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TDR </w:t>
      </w:r>
      <w:r>
        <w:rPr>
          <w:rFonts w:ascii="微软雅黑" w:eastAsia="微软雅黑" w:hAnsi="微软雅黑" w:cs="微软雅黑" w:hint="eastAsia"/>
          <w:b/>
          <w:color w:val="1F4E79"/>
        </w:rPr>
        <w:t>检验</w:t>
      </w:r>
      <w:r>
        <w:rPr>
          <w:rFonts w:ascii="微软雅黑" w:eastAsia="微软雅黑" w:hAnsi="微软雅黑" w:cs="微软雅黑" w:hint="eastAsia"/>
          <w:color w:val="1A2733"/>
        </w:rPr>
        <w:t>，并用</w:t>
      </w:r>
      <w:r>
        <w:rPr>
          <w:rFonts w:ascii="微软雅黑" w:eastAsia="微软雅黑" w:hAnsi="微软雅黑" w:cs="微软雅黑" w:hint="eastAsia"/>
          <w:color w:val="1A2733"/>
        </w:rPr>
        <w:t xml:space="preserve"> AI </w:t>
      </w:r>
      <w:r>
        <w:rPr>
          <w:rFonts w:ascii="微软雅黑" w:eastAsia="微软雅黑" w:hAnsi="微软雅黑" w:cs="微软雅黑" w:hint="eastAsia"/>
          <w:color w:val="1A2733"/>
        </w:rPr>
        <w:t>视觉做整机作业动作检、整机错漏反检、焊接前芯线检。这些做法共同指向一个原则：</w:t>
      </w:r>
      <w:r>
        <w:rPr>
          <w:rFonts w:ascii="微软雅黑" w:eastAsia="微软雅黑" w:hAnsi="微软雅黑" w:cs="微软雅黑" w:hint="eastAsia"/>
          <w:b/>
          <w:color w:val="1F4E79"/>
        </w:rPr>
        <w:t>把检出点尽可能前移到工序内，而不是留在成品测试</w:t>
      </w:r>
      <w:r>
        <w:rPr>
          <w:rFonts w:ascii="微软雅黑" w:eastAsia="微软雅黑" w:hAnsi="微软雅黑" w:cs="微软雅黑" w:hint="eastAsia"/>
          <w:color w:val="1A2733"/>
        </w:rPr>
        <w:t>。</w:t>
      </w:r>
    </w:p>
    <w:p w14:paraId="11C04364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对采购与质量团队的直接含义是：供应商准入不能只看「有没有测试报告」，而要看「测试发生在哪道工序、覆盖哪些参数、是否保留原始曲线」。一条没有原始</w:t>
      </w:r>
      <w:r>
        <w:rPr>
          <w:rFonts w:ascii="微软雅黑" w:eastAsia="微软雅黑" w:hAnsi="微软雅黑" w:cs="微软雅黑" w:hint="eastAsia"/>
          <w:color w:val="1A2733"/>
        </w:rPr>
        <w:t xml:space="preserve"> TDR </w:t>
      </w:r>
      <w:r>
        <w:rPr>
          <w:rFonts w:ascii="微软雅黑" w:eastAsia="微软雅黑" w:hAnsi="微软雅黑" w:cs="微软雅黑" w:hint="eastAsia"/>
          <w:color w:val="1A2733"/>
        </w:rPr>
        <w:t>曲线的合格报告，其证据价值接近于零。</w:t>
      </w:r>
    </w:p>
    <w:p w14:paraId="17E617F7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t>五、液路验证：时间延迟暴露的系统性风险</w:t>
      </w:r>
    </w:p>
    <w:p w14:paraId="713220E4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5.1 </w:t>
      </w:r>
      <w:r>
        <w:rPr>
          <w:rFonts w:ascii="微软雅黑" w:eastAsia="微软雅黑" w:hAnsi="微软雅黑" w:cs="微软雅黑" w:hint="eastAsia"/>
          <w:color w:val="1F4E79"/>
        </w:rPr>
        <w:t>从「能冷却」到「可运营」</w:t>
      </w:r>
    </w:p>
    <w:p w14:paraId="2B24B394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原报告对液冷的判断是：工程重心已从冷板性能转向全生命周期——介质兼容性、冲洗与灌注、运输与存储、泄漏、遥测、重量、现场调试和规模化运维。这个判断在</w:t>
      </w:r>
      <w:r>
        <w:rPr>
          <w:rFonts w:ascii="微软雅黑" w:eastAsia="微软雅黑" w:hAnsi="微软雅黑" w:cs="微软雅黑" w:hint="eastAsia"/>
          <w:color w:val="1A2733"/>
        </w:rPr>
        <w:t xml:space="preserve"> OCP 2026 </w:t>
      </w:r>
      <w:r>
        <w:rPr>
          <w:rFonts w:ascii="微软雅黑" w:eastAsia="微软雅黑" w:hAnsi="微软雅黑" w:cs="微软雅黑" w:hint="eastAsia"/>
          <w:color w:val="1A2733"/>
        </w:rPr>
        <w:t>的议程结构中得到印证：</w:t>
      </w:r>
      <w:r>
        <w:rPr>
          <w:rFonts w:ascii="微软雅黑" w:eastAsia="微软雅黑" w:hAnsi="微软雅黑" w:cs="微软雅黑" w:hint="eastAsia"/>
          <w:color w:val="1A2733"/>
        </w:rPr>
        <w:t xml:space="preserve">10 </w:t>
      </w:r>
      <w:r>
        <w:rPr>
          <w:rFonts w:ascii="微软雅黑" w:eastAsia="微软雅黑" w:hAnsi="微软雅黑" w:cs="微软雅黑" w:hint="eastAsia"/>
          <w:color w:val="1A2733"/>
        </w:rPr>
        <w:t>月</w:t>
      </w:r>
      <w:r>
        <w:rPr>
          <w:rFonts w:ascii="微软雅黑" w:eastAsia="微软雅黑" w:hAnsi="微软雅黑" w:cs="微软雅黑" w:hint="eastAsia"/>
          <w:color w:val="1A2733"/>
        </w:rPr>
        <w:t xml:space="preserve"> 14 </w:t>
      </w:r>
      <w:r>
        <w:rPr>
          <w:rFonts w:ascii="微软雅黑" w:eastAsia="微软雅黑" w:hAnsi="微软雅黑" w:cs="微软雅黑" w:hint="eastAsia"/>
          <w:color w:val="1A2733"/>
        </w:rPr>
        <w:t>日至</w:t>
      </w:r>
      <w:r>
        <w:rPr>
          <w:rFonts w:ascii="微软雅黑" w:eastAsia="微软雅黑" w:hAnsi="微软雅黑" w:cs="微软雅黑" w:hint="eastAsia"/>
          <w:color w:val="1A2733"/>
        </w:rPr>
        <w:t xml:space="preserve"> 15 </w:t>
      </w:r>
      <w:r>
        <w:rPr>
          <w:rFonts w:ascii="微软雅黑" w:eastAsia="微软雅黑" w:hAnsi="微软雅黑" w:cs="微软雅黑" w:hint="eastAsia"/>
          <w:color w:val="1A2733"/>
        </w:rPr>
        <w:t>日的议题密集覆盖冷却遥测、可靠性、介质混配阈值、冲洗与灌注、冷板机柜的运输与存储、机柜减重、单相冷板极限与两相路径。</w:t>
      </w:r>
    </w:p>
    <w:p w14:paraId="3A0A0C35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换言之，液冷的技术风险已经不在「能不能把热带走」，而在「这套液路能不能被运输、被灌注、被维护、被诊断，并且在三年后仍然不漏」。后四个问题都属于可制造性范畴，而不属于热设计范畴。</w:t>
      </w:r>
    </w:p>
    <w:p w14:paraId="2E83261F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lastRenderedPageBreak/>
        <w:t xml:space="preserve">5.2 </w:t>
      </w:r>
      <w:r>
        <w:rPr>
          <w:rFonts w:ascii="微软雅黑" w:eastAsia="微软雅黑" w:hAnsi="微软雅黑" w:cs="微软雅黑" w:hint="eastAsia"/>
          <w:color w:val="1F4E79"/>
        </w:rPr>
        <w:t>液路失效的六个阶段</w:t>
      </w:r>
    </w:p>
    <w:p w14:paraId="785A3712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液路失效最显著的特征是时间延迟暴露：样机运行时全部通过，泄漏与流量衰减往往在运输、灌注或运行数月后才显现。把液路的生命周期拆成六个阶段，可以看到风险分布与测试窗口之间存在系统性错位。</w:t>
      </w:r>
    </w:p>
    <w:p w14:paraId="37FF9624" w14:textId="77777777" w:rsidR="006C1AF3" w:rsidRDefault="004B2385">
      <w:pPr>
        <w:spacing w:before="240" w:after="240" w:line="388" w:lineRule="auto"/>
        <w:ind w:left="240" w:right="240"/>
        <w:jc w:val="center"/>
        <w:rPr>
          <w:color w:val="1A2733"/>
        </w:rPr>
      </w:pPr>
      <w:r>
        <w:rPr>
          <w:noProof/>
        </w:rPr>
        <w:drawing>
          <wp:inline distT="0" distB="0" distL="0" distR="0" wp14:anchorId="44A65AB4" wp14:editId="3CF296EA">
            <wp:extent cx="5274310" cy="29667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AC6E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图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7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液路失效的六个阶段与相对暴露风险（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C </w:t>
      </w:r>
      <w:r>
        <w:rPr>
          <w:rFonts w:ascii="微软雅黑" w:eastAsia="微软雅黑" w:hAnsi="微软雅黑" w:cs="微软雅黑" w:hint="eastAsia"/>
          <w:color w:val="5C6B7A"/>
          <w:sz w:val="18"/>
        </w:rPr>
        <w:t>级分析）</w:t>
      </w:r>
    </w:p>
    <w:p w14:paraId="36F6F17F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图中最关键的信息不是具体数值，而是两个括号的位置：</w:t>
      </w:r>
      <w:r>
        <w:rPr>
          <w:rFonts w:ascii="微软雅黑" w:eastAsia="微软雅黑" w:hAnsi="微软雅黑" w:cs="微软雅黑" w:hint="eastAsia"/>
          <w:b/>
          <w:color w:val="1F4E79"/>
        </w:rPr>
        <w:t>「样机可运行」的取样窗口只覆盖第二阶段</w:t>
      </w:r>
      <w:r>
        <w:rPr>
          <w:rFonts w:ascii="微软雅黑" w:eastAsia="微软雅黑" w:hAnsi="微软雅黑" w:cs="微软雅黑" w:hint="eastAsia"/>
          <w:color w:val="1A2733"/>
        </w:rPr>
        <w:t>，而风险峰值集中在第三、五、六阶段。这意味着用样机运行状态推断液路可量产性，在方法论上就是无效的——不是证据不够强，而是取样点根本不在风险区。</w:t>
      </w:r>
    </w:p>
    <w:p w14:paraId="3A9B6071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5.3 </w:t>
      </w:r>
      <w:r>
        <w:rPr>
          <w:rFonts w:ascii="微软雅黑" w:eastAsia="微软雅黑" w:hAnsi="微软雅黑" w:cs="微软雅黑" w:hint="eastAsia"/>
          <w:color w:val="1F4E79"/>
        </w:rPr>
        <w:t>关键测试项与判据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824"/>
        <w:gridCol w:w="3821"/>
      </w:tblGrid>
      <w:tr w:rsidR="006C1AF3" w14:paraId="49402916" w14:textId="77777777">
        <w:trPr>
          <w:cantSplit/>
          <w:tblHeader/>
        </w:trPr>
        <w:tc>
          <w:tcPr>
            <w:tcW w:w="166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CF9794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测试项</w:t>
            </w:r>
          </w:p>
        </w:tc>
        <w:tc>
          <w:tcPr>
            <w:tcW w:w="282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F70260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方法与条件</w:t>
            </w:r>
          </w:p>
        </w:tc>
        <w:tc>
          <w:tcPr>
            <w:tcW w:w="382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22EF39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判据与注意点</w:t>
            </w:r>
          </w:p>
        </w:tc>
      </w:tr>
      <w:tr w:rsidR="006C1AF3" w14:paraId="1C589DC8" w14:textId="77777777">
        <w:trPr>
          <w:cantSplit/>
        </w:trPr>
        <w:tc>
          <w:tcPr>
            <w:tcW w:w="166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5007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压力保持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0B0E6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按回路设计压力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1.5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倍保压，记录压降曲线</w:t>
            </w:r>
          </w:p>
        </w:tc>
        <w:tc>
          <w:tcPr>
            <w:tcW w:w="382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F3A3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压降速率需与环境温度补偿；仅看「是否归零」会漏掉微漏</w:t>
            </w:r>
          </w:p>
        </w:tc>
      </w:tr>
      <w:tr w:rsidR="006C1AF3" w14:paraId="13EE947E" w14:textId="77777777">
        <w:trPr>
          <w:cantSplit/>
        </w:trPr>
        <w:tc>
          <w:tcPr>
            <w:tcW w:w="166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9C0A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氦质谱检漏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1571C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关键接头、钎焊点、快接接头逐点检测</w:t>
            </w:r>
          </w:p>
        </w:tc>
        <w:tc>
          <w:tcPr>
            <w:tcW w:w="382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791B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适用于出厂全检；需定义漏率阈值与检测顺序</w:t>
            </w:r>
          </w:p>
        </w:tc>
      </w:tr>
      <w:tr w:rsidR="006C1AF3" w14:paraId="172F8D5B" w14:textId="77777777">
        <w:trPr>
          <w:cantSplit/>
        </w:trPr>
        <w:tc>
          <w:tcPr>
            <w:tcW w:w="166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36C4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流量与压降分配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DDD1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逐托盘、逐支路测流量与压降，与设计值比对</w:t>
            </w:r>
          </w:p>
        </w:tc>
        <w:tc>
          <w:tcPr>
            <w:tcW w:w="382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6F05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关注分配不均而非总量达标；单支路偏差是热点根源</w:t>
            </w:r>
          </w:p>
        </w:tc>
      </w:tr>
      <w:tr w:rsidR="006C1AF3" w14:paraId="760ED21F" w14:textId="77777777">
        <w:trPr>
          <w:cantSplit/>
        </w:trPr>
        <w:tc>
          <w:tcPr>
            <w:tcW w:w="166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E9BA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lastRenderedPageBreak/>
              <w:t>供回温与热阻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6F77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额定负载下测供回温差、芯片结温与冷板热阻</w:t>
            </w:r>
          </w:p>
        </w:tc>
        <w:tc>
          <w:tcPr>
            <w:tcW w:w="382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166B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需在最大功率与部分负载两种工况下各测一次</w:t>
            </w:r>
          </w:p>
        </w:tc>
      </w:tr>
      <w:tr w:rsidR="006C1AF3" w14:paraId="105F1215" w14:textId="77777777">
        <w:trPr>
          <w:cantSplit/>
        </w:trPr>
        <w:tc>
          <w:tcPr>
            <w:tcW w:w="166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FE65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清洁度与颗粒度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3C9C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冲洗后取样，按颗粒尺寸分级计数</w:t>
            </w:r>
          </w:p>
        </w:tc>
        <w:tc>
          <w:tcPr>
            <w:tcW w:w="382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FD58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颗粒会堵塞微通道，是长期流量衰减的主因</w:t>
            </w:r>
          </w:p>
        </w:tc>
      </w:tr>
      <w:tr w:rsidR="006C1AF3" w14:paraId="4710E2B4" w14:textId="77777777">
        <w:trPr>
          <w:cantSplit/>
        </w:trPr>
        <w:tc>
          <w:tcPr>
            <w:tcW w:w="166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55D0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露点与凝露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EFEF5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低温环境与高湿环境下的表面温度监测</w:t>
            </w:r>
          </w:p>
        </w:tc>
        <w:tc>
          <w:tcPr>
            <w:tcW w:w="382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7CAE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供水温度低于环境露点时必然凝露，需联锁策略</w:t>
            </w:r>
          </w:p>
        </w:tc>
      </w:tr>
      <w:tr w:rsidR="006C1AF3" w14:paraId="5BC3CCB8" w14:textId="77777777">
        <w:trPr>
          <w:cantSplit/>
        </w:trPr>
        <w:tc>
          <w:tcPr>
            <w:tcW w:w="166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5EFD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失流与降级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F5D9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泵停、流量下降、气泡注入，记录告警与降频行为</w:t>
            </w:r>
          </w:p>
        </w:tc>
        <w:tc>
          <w:tcPr>
            <w:tcW w:w="382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5D97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核心是「时间窗」：从失流到安全停机允许多久</w:t>
            </w:r>
          </w:p>
        </w:tc>
      </w:tr>
      <w:tr w:rsidR="006C1AF3" w14:paraId="7CBCCAEC" w14:textId="77777777">
        <w:trPr>
          <w:cantSplit/>
        </w:trPr>
        <w:tc>
          <w:tcPr>
            <w:tcW w:w="166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194A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运输与存储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15E8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整柜振动、跌落、倾斜试验后复测液路</w:t>
            </w:r>
          </w:p>
        </w:tc>
        <w:tc>
          <w:tcPr>
            <w:tcW w:w="382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53FC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ORW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案例：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4700 kg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载荷下随机振动、旋转平面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/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棱跌落、四次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17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°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倾斜，全部通过且结构方正度在容差内</w:t>
            </w:r>
          </w:p>
        </w:tc>
      </w:tr>
      <w:tr w:rsidR="006C1AF3" w14:paraId="227E0FC9" w14:textId="77777777">
        <w:trPr>
          <w:cantSplit/>
        </w:trPr>
        <w:tc>
          <w:tcPr>
            <w:tcW w:w="166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1B5D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介质兼容与混配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91D5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材料浸泡、密封件硬度与体积变化、混液阈值</w:t>
            </w:r>
          </w:p>
        </w:tc>
        <w:tc>
          <w:tcPr>
            <w:tcW w:w="382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69925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不同批次介质混配是现场高频问题，需定义允许范围</w:t>
            </w:r>
          </w:p>
        </w:tc>
      </w:tr>
    </w:tbl>
    <w:p w14:paraId="593068DC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表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5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液路验证的关键测试项与判据</w:t>
      </w:r>
    </w:p>
    <w:p w14:paraId="3133ADC5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5.4 </w:t>
      </w:r>
      <w:r>
        <w:rPr>
          <w:rFonts w:ascii="微软雅黑" w:eastAsia="微软雅黑" w:hAnsi="微软雅黑" w:cs="微软雅黑" w:hint="eastAsia"/>
          <w:color w:val="1F4E79"/>
        </w:rPr>
        <w:t>三个隐性失效机理</w:t>
      </w:r>
    </w:p>
    <w:p w14:paraId="269E1CFC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微泄漏的累积性。</w:t>
      </w:r>
      <w:r>
        <w:rPr>
          <w:rFonts w:ascii="微软雅黑" w:eastAsia="微软雅黑" w:hAnsi="微软雅黑" w:cs="微软雅黑" w:hint="eastAsia"/>
          <w:color w:val="1A2733"/>
        </w:rPr>
        <w:t>单点漏率低于检测阈值时不会触发告警，但多点累积会在数月后表现为液位下降与补液频次上升。若系统没有补液量遥测，这一过程在早期完全不可见。因此液路遥测的最小集合应包含补液量、回路压力趋势与流量趋势，而不只是「是否漏液报警」。</w:t>
      </w:r>
    </w:p>
    <w:p w14:paraId="1ACAAECA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电化学腐蚀的偶发性。</w:t>
      </w:r>
      <w:r>
        <w:rPr>
          <w:rFonts w:ascii="微软雅黑" w:eastAsia="微软雅黑" w:hAnsi="微软雅黑" w:cs="微软雅黑" w:hint="eastAsia"/>
          <w:color w:val="1A2733"/>
        </w:rPr>
        <w:t>异种金属接触加介质电导率上升，会在接头处形成原电池效应。这类失效与介质水质、材料搭配、接地方式强相关，往往在特定批次或特定现场集中出现，难以在厂内复现。对策是把介质参数（电导率、</w:t>
      </w:r>
      <w:r>
        <w:rPr>
          <w:rFonts w:ascii="微软雅黑" w:eastAsia="微软雅黑" w:hAnsi="微软雅黑" w:cs="微软雅黑" w:hint="eastAsia"/>
          <w:color w:val="1A2733"/>
        </w:rPr>
        <w:t>pH</w:t>
      </w:r>
      <w:r>
        <w:rPr>
          <w:rFonts w:ascii="微软雅黑" w:eastAsia="微软雅黑" w:hAnsi="微软雅黑" w:cs="微软雅黑" w:hint="eastAsia"/>
          <w:color w:val="1A2733"/>
        </w:rPr>
        <w:t>、含氧量）纳入出厂记录与现场巡检项。</w:t>
      </w:r>
    </w:p>
    <w:p w14:paraId="6CA03A8C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生物膜与结垢的渐进性。</w:t>
      </w:r>
      <w:r>
        <w:rPr>
          <w:rFonts w:ascii="微软雅黑" w:eastAsia="微软雅黑" w:hAnsi="微软雅黑" w:cs="微软雅黑" w:hint="eastAsia"/>
          <w:color w:val="1A2733"/>
        </w:rPr>
        <w:t>长期运行后管路内壁形成生物膜或结垢层，表现为流量下降与泵功上升。这类退化不会触发任何单一告警，只能通过流量</w:t>
      </w:r>
      <w:r>
        <w:rPr>
          <w:rFonts w:ascii="微软雅黑" w:eastAsia="微软雅黑" w:hAnsi="微软雅黑" w:cs="微软雅黑" w:hint="eastAsia"/>
          <w:color w:val="1A2733"/>
        </w:rPr>
        <w:t>-</w:t>
      </w:r>
      <w:r>
        <w:rPr>
          <w:rFonts w:ascii="微软雅黑" w:eastAsia="微软雅黑" w:hAnsi="微软雅黑" w:cs="微软雅黑" w:hint="eastAsia"/>
          <w:color w:val="1A2733"/>
        </w:rPr>
        <w:t>泵功基线的偏移趋势识别。因此液路验收必须交付一条「健康基线」，否则现场没有比较对象。</w:t>
      </w:r>
    </w:p>
    <w:p w14:paraId="59F2EB6B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5.5 </w:t>
      </w:r>
      <w:r>
        <w:rPr>
          <w:rFonts w:ascii="微软雅黑" w:eastAsia="微软雅黑" w:hAnsi="微软雅黑" w:cs="微软雅黑" w:hint="eastAsia"/>
          <w:color w:val="1F4E79"/>
        </w:rPr>
        <w:t>加速试验的设计方法</w:t>
      </w:r>
    </w:p>
    <w:p w14:paraId="573E4AB3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由于液路的多数失效无法在出厂窗口内自然暴露，验证必须依靠加速试验，并明确写出外推假设。基本方</w:t>
      </w:r>
      <w:r>
        <w:rPr>
          <w:rFonts w:ascii="微软雅黑" w:eastAsia="微软雅黑" w:hAnsi="微软雅黑" w:cs="微软雅黑" w:hint="eastAsia"/>
          <w:color w:val="1A2733"/>
        </w:rPr>
        <w:lastRenderedPageBreak/>
        <w:t>法有三条：</w:t>
      </w:r>
    </w:p>
    <w:p w14:paraId="0BC4A546" w14:textId="77777777" w:rsidR="006C1AF3" w:rsidRDefault="004B2385">
      <w:pPr>
        <w:numPr>
          <w:ilvl w:val="0"/>
          <w:numId w:val="2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温度加速。</w:t>
      </w:r>
      <w:r>
        <w:rPr>
          <w:rFonts w:ascii="微软雅黑" w:eastAsia="微软雅黑" w:hAnsi="微软雅黑" w:cs="微软雅黑" w:hint="eastAsia"/>
          <w:color w:val="1A2733"/>
        </w:rPr>
        <w:t>按阿伦尼乌斯模型提高介质温度，加速密封件老化与腐蚀反应；需明确激活能与适用温度上限，避免引入非代表性失效模式。</w:t>
      </w:r>
    </w:p>
    <w:p w14:paraId="120525A8" w14:textId="77777777" w:rsidR="006C1AF3" w:rsidRDefault="004B2385">
      <w:pPr>
        <w:numPr>
          <w:ilvl w:val="0"/>
          <w:numId w:val="2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压力循环加速。</w:t>
      </w:r>
      <w:r>
        <w:rPr>
          <w:rFonts w:ascii="微软雅黑" w:eastAsia="微软雅黑" w:hAnsi="微软雅黑" w:cs="微软雅黑" w:hint="eastAsia"/>
          <w:color w:val="1A2733"/>
        </w:rPr>
        <w:t>用压力循环代替时间，加速接头与钎焊点的疲劳；循环次数与等效运行年限的换算关系必须写入报告。</w:t>
      </w:r>
    </w:p>
    <w:p w14:paraId="6A824C7C" w14:textId="77777777" w:rsidR="006C1AF3" w:rsidRDefault="004B2385">
      <w:pPr>
        <w:numPr>
          <w:ilvl w:val="0"/>
          <w:numId w:val="2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机械谱加速。</w:t>
      </w:r>
      <w:r>
        <w:rPr>
          <w:rFonts w:ascii="微软雅黑" w:eastAsia="微软雅黑" w:hAnsi="微软雅黑" w:cs="微软雅黑" w:hint="eastAsia"/>
          <w:color w:val="1A2733"/>
        </w:rPr>
        <w:t>用随机振动与热循环叠加，加速端子微动与管路应力；</w:t>
      </w:r>
      <w:r>
        <w:rPr>
          <w:rFonts w:ascii="微软雅黑" w:eastAsia="微软雅黑" w:hAnsi="微软雅黑" w:cs="微软雅黑" w:hint="eastAsia"/>
          <w:color w:val="1A2733"/>
        </w:rPr>
        <w:t xml:space="preserve">ORW </w:t>
      </w:r>
      <w:r>
        <w:rPr>
          <w:rFonts w:ascii="微软雅黑" w:eastAsia="微软雅黑" w:hAnsi="微软雅黑" w:cs="微软雅黑" w:hint="eastAsia"/>
          <w:color w:val="1A2733"/>
        </w:rPr>
        <w:t>的</w:t>
      </w:r>
      <w:r>
        <w:rPr>
          <w:rFonts w:ascii="微软雅黑" w:eastAsia="微软雅黑" w:hAnsi="微软雅黑" w:cs="微软雅黑" w:hint="eastAsia"/>
          <w:color w:val="1A2733"/>
        </w:rPr>
        <w:t xml:space="preserve"> DVT </w:t>
      </w:r>
      <w:r>
        <w:rPr>
          <w:rFonts w:ascii="微软雅黑" w:eastAsia="微软雅黑" w:hAnsi="微软雅黑" w:cs="微软雅黑" w:hint="eastAsia"/>
          <w:color w:val="1A2733"/>
        </w:rPr>
        <w:t>试验给出了可参照的谱型与判据。</w:t>
      </w:r>
    </w:p>
    <w:p w14:paraId="23BD2291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三条方法的共同要求是：</w:t>
      </w:r>
      <w:r>
        <w:rPr>
          <w:rFonts w:ascii="微软雅黑" w:eastAsia="微软雅黑" w:hAnsi="微软雅黑" w:cs="微软雅黑" w:hint="eastAsia"/>
          <w:b/>
          <w:color w:val="1F4E79"/>
        </w:rPr>
        <w:t>先写外推假设，再做试验</w:t>
      </w:r>
      <w:r>
        <w:rPr>
          <w:rFonts w:ascii="微软雅黑" w:eastAsia="微软雅黑" w:hAnsi="微软雅黑" w:cs="微软雅黑" w:hint="eastAsia"/>
          <w:color w:val="1A2733"/>
        </w:rPr>
        <w:t>。反过来做（先出结果再解释）会使证据失去可审计性，也会在客户质询时无法自证。</w:t>
      </w:r>
    </w:p>
    <w:p w14:paraId="29E3CF45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t>六、「样机可运行即视为可量产」：一个必须被拆掉的逻辑</w:t>
      </w:r>
    </w:p>
    <w:p w14:paraId="2393658E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6.1 </w:t>
      </w:r>
      <w:r>
        <w:rPr>
          <w:rFonts w:ascii="微软雅黑" w:eastAsia="微软雅黑" w:hAnsi="微软雅黑" w:cs="微软雅黑" w:hint="eastAsia"/>
          <w:color w:val="1F4E79"/>
        </w:rPr>
        <w:t>这句话的五种话术变体</w:t>
      </w:r>
    </w:p>
    <w:p w14:paraId="68ABCA1B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原文点名的这句话在实际评审中很少以原话出现，它通常以五种变体存在。识别变体，比记住原话更有用。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2491"/>
        <w:gridCol w:w="2825"/>
      </w:tblGrid>
      <w:tr w:rsidR="006C1AF3" w14:paraId="12A792BB" w14:textId="77777777">
        <w:trPr>
          <w:cantSplit/>
          <w:tblHeader/>
        </w:trPr>
        <w:tc>
          <w:tcPr>
            <w:tcW w:w="299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755FA0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话术变体</w:t>
            </w:r>
          </w:p>
        </w:tc>
        <w:tc>
          <w:tcPr>
            <w:tcW w:w="249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E25398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它实际主张的</w:t>
            </w:r>
          </w:p>
        </w:tc>
        <w:tc>
          <w:tcPr>
            <w:tcW w:w="282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ADB939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它回避的问题</w:t>
            </w:r>
          </w:p>
        </w:tc>
      </w:tr>
      <w:tr w:rsidR="006C1AF3" w14:paraId="06436F6C" w14:textId="77777777">
        <w:trPr>
          <w:cantSplit/>
        </w:trPr>
        <w:tc>
          <w:tcPr>
            <w:tcW w:w="299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4CD4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「样机已经在客户现场跑了一个月」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4D3B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存在性成立</w:t>
            </w:r>
          </w:p>
        </w:tc>
        <w:tc>
          <w:tcPr>
            <w:tcW w:w="282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C18E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这台样机是特挑的、手工装的、由原厂工程师驻场维护的</w:t>
            </w:r>
          </w:p>
        </w:tc>
      </w:tr>
      <w:tr w:rsidR="006C1AF3" w14:paraId="3FA6C5DE" w14:textId="77777777">
        <w:trPr>
          <w:cantSplit/>
        </w:trPr>
        <w:tc>
          <w:tcPr>
            <w:tcW w:w="299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62320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「小批量试产已经交付」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E78D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可重复性初步成立</w:t>
            </w:r>
          </w:p>
        </w:tc>
        <w:tc>
          <w:tcPr>
            <w:tcW w:w="282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F81E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试产用的是试产工装与试产人员，不是量产工装与量产人员</w:t>
            </w:r>
          </w:p>
        </w:tc>
      </w:tr>
      <w:tr w:rsidR="006C1AF3" w14:paraId="342BFA26" w14:textId="77777777">
        <w:trPr>
          <w:cantSplit/>
        </w:trPr>
        <w:tc>
          <w:tcPr>
            <w:tcW w:w="299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1BEC5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「测试全部通过，报告齐全」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085B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测试项已执行</w:t>
            </w:r>
          </w:p>
        </w:tc>
        <w:tc>
          <w:tcPr>
            <w:tcW w:w="282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600D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测试项是否覆盖装配态与故障模式；用例是否验证过「能失败」</w:t>
            </w:r>
          </w:p>
        </w:tc>
      </w:tr>
      <w:tr w:rsidR="006C1AF3" w14:paraId="300577C9" w14:textId="77777777">
        <w:trPr>
          <w:cantSplit/>
        </w:trPr>
        <w:tc>
          <w:tcPr>
            <w:tcW w:w="299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851C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「和上一代是同一平台」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7290C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设计复用成立</w:t>
            </w:r>
          </w:p>
        </w:tc>
        <w:tc>
          <w:tcPr>
            <w:tcW w:w="282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E89B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功率密度、连接点数量、液路复杂度是否已越过平台的能力边界</w:t>
            </w:r>
          </w:p>
        </w:tc>
      </w:tr>
      <w:tr w:rsidR="006C1AF3" w14:paraId="0BF90D18" w14:textId="77777777">
        <w:trPr>
          <w:cantSplit/>
        </w:trPr>
        <w:tc>
          <w:tcPr>
            <w:tcW w:w="299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1391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「供应商说可以量产」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8878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供应商意愿成立</w:t>
            </w:r>
          </w:p>
        </w:tc>
        <w:tc>
          <w:tcPr>
            <w:tcW w:w="282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4A4F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供应商是否具备量产工装、节拍、良率数据与变更管理机制</w:t>
            </w:r>
          </w:p>
        </w:tc>
      </w:tr>
    </w:tbl>
    <w:p w14:paraId="6C780D22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表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6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「样机可运行」的五种话术变体</w:t>
      </w:r>
    </w:p>
    <w:p w14:paraId="549CD320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lastRenderedPageBreak/>
        <w:t xml:space="preserve">6.2 </w:t>
      </w:r>
      <w:r>
        <w:rPr>
          <w:rFonts w:ascii="微软雅黑" w:eastAsia="微软雅黑" w:hAnsi="微软雅黑" w:cs="微软雅黑" w:hint="eastAsia"/>
          <w:color w:val="1F4E79"/>
        </w:rPr>
        <w:t>逻辑错误：存在性证明不等于分布性证明</w:t>
      </w:r>
    </w:p>
    <w:p w14:paraId="1F5C638B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这句话的错误可以精确地表述为一个逻辑替换：用「存在一种配置能够工作」替代了「在给定波动下大多数配置都能工作」。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3239"/>
        <w:gridCol w:w="3240"/>
      </w:tblGrid>
      <w:tr w:rsidR="006C1AF3" w14:paraId="4955BA80" w14:textId="77777777">
        <w:trPr>
          <w:cantSplit/>
          <w:tblHeader/>
        </w:trPr>
        <w:tc>
          <w:tcPr>
            <w:tcW w:w="182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639B12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维度</w:t>
            </w:r>
          </w:p>
        </w:tc>
        <w:tc>
          <w:tcPr>
            <w:tcW w:w="323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40D7A2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样机证明的</w:t>
            </w:r>
          </w:p>
        </w:tc>
        <w:tc>
          <w:tcPr>
            <w:tcW w:w="32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9D3061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量产需要的</w:t>
            </w:r>
          </w:p>
        </w:tc>
      </w:tr>
      <w:tr w:rsidR="006C1AF3" w14:paraId="55C19CDD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0A25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样本量</w:t>
            </w:r>
          </w:p>
        </w:tc>
        <w:tc>
          <w:tcPr>
            <w:tcW w:w="323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15F70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n = 1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（或个位数）</w:t>
            </w:r>
          </w:p>
        </w:tc>
        <w:tc>
          <w:tcPr>
            <w:tcW w:w="324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73890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n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足够大以估计分布尾部</w:t>
            </w:r>
          </w:p>
        </w:tc>
      </w:tr>
      <w:tr w:rsidR="006C1AF3" w14:paraId="3E896270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BBF1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工艺</w:t>
            </w:r>
          </w:p>
        </w:tc>
        <w:tc>
          <w:tcPr>
            <w:tcW w:w="323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F0E3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手工装配、工程师现场调试</w:t>
            </w:r>
          </w:p>
        </w:tc>
        <w:tc>
          <w:tcPr>
            <w:tcW w:w="324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0BEEC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正式工装、标准节拍、普通作业员</w:t>
            </w:r>
          </w:p>
        </w:tc>
      </w:tr>
      <w:tr w:rsidR="006C1AF3" w14:paraId="6A6FF275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24286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物料</w:t>
            </w:r>
          </w:p>
        </w:tc>
        <w:tc>
          <w:tcPr>
            <w:tcW w:w="323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ECE5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特挑件或工程样品</w:t>
            </w:r>
          </w:p>
        </w:tc>
        <w:tc>
          <w:tcPr>
            <w:tcW w:w="324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FD520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批量来料，含批次波动</w:t>
            </w:r>
          </w:p>
        </w:tc>
      </w:tr>
      <w:tr w:rsidR="006C1AF3" w14:paraId="52682366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562E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裕量</w:t>
            </w:r>
          </w:p>
        </w:tc>
        <w:tc>
          <w:tcPr>
            <w:tcW w:w="323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146B0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未知（通常贴着边界运行）</w:t>
            </w:r>
          </w:p>
        </w:tc>
        <w:tc>
          <w:tcPr>
            <w:tcW w:w="324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19BF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已量化并有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CPK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支撑</w:t>
            </w:r>
          </w:p>
        </w:tc>
      </w:tr>
      <w:tr w:rsidR="006C1AF3" w14:paraId="22DF2F68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2D866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可重复性</w:t>
            </w:r>
          </w:p>
        </w:tc>
        <w:tc>
          <w:tcPr>
            <w:tcW w:w="323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47A7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一次性</w:t>
            </w:r>
          </w:p>
        </w:tc>
        <w:tc>
          <w:tcPr>
            <w:tcW w:w="324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A6CD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可重复、可复制到多条产线</w:t>
            </w:r>
          </w:p>
        </w:tc>
      </w:tr>
      <w:tr w:rsidR="006C1AF3" w14:paraId="58F1BC93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A697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失效处理</w:t>
            </w:r>
          </w:p>
        </w:tc>
        <w:tc>
          <w:tcPr>
            <w:tcW w:w="323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C0AE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现场修，不记录</w:t>
            </w:r>
          </w:p>
        </w:tc>
        <w:tc>
          <w:tcPr>
            <w:tcW w:w="3240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A837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有故障字典、返修流程与根因闭环</w:t>
            </w:r>
          </w:p>
        </w:tc>
      </w:tr>
    </w:tbl>
    <w:p w14:paraId="4CDC3F86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表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7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存在性证明与分布性证明的差异</w:t>
      </w:r>
    </w:p>
    <w:p w14:paraId="387DD5A4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6.3 </w:t>
      </w:r>
      <w:r>
        <w:rPr>
          <w:rFonts w:ascii="微软雅黑" w:eastAsia="微软雅黑" w:hAnsi="微软雅黑" w:cs="微软雅黑" w:hint="eastAsia"/>
          <w:color w:val="1F4E79"/>
        </w:rPr>
        <w:t>证据阶梯：样机</w:t>
      </w:r>
      <w:r>
        <w:rPr>
          <w:rFonts w:ascii="微软雅黑" w:eastAsia="微软雅黑" w:hAnsi="微软雅黑" w:cs="微软雅黑" w:hint="eastAsia"/>
          <w:color w:val="1F4E79"/>
        </w:rPr>
        <w:t xml:space="preserve"> / DVT / PVT / MP</w:t>
      </w:r>
    </w:p>
    <w:p w14:paraId="4E79C5E0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从样机到量产不是一段连续的路，而是三级台阶，每一级都要回答一个前一级无法回答的问题。</w:t>
      </w:r>
    </w:p>
    <w:p w14:paraId="30A8FF4A" w14:textId="77777777" w:rsidR="006C1AF3" w:rsidRDefault="004B2385">
      <w:pPr>
        <w:spacing w:before="240" w:after="240" w:line="388" w:lineRule="auto"/>
        <w:ind w:left="240" w:right="240"/>
        <w:jc w:val="center"/>
        <w:rPr>
          <w:color w:val="1A2733"/>
        </w:rPr>
      </w:pPr>
      <w:r>
        <w:rPr>
          <w:noProof/>
        </w:rPr>
        <w:drawing>
          <wp:inline distT="0" distB="0" distL="0" distR="0" wp14:anchorId="41945B96" wp14:editId="738A5564">
            <wp:extent cx="5274310" cy="29667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7659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图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8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证据阶梯：样机、</w:t>
      </w:r>
      <w:r>
        <w:rPr>
          <w:rFonts w:ascii="微软雅黑" w:eastAsia="微软雅黑" w:hAnsi="微软雅黑" w:cs="微软雅黑" w:hint="eastAsia"/>
          <w:color w:val="5C6B7A"/>
          <w:sz w:val="18"/>
        </w:rPr>
        <w:t>DVT</w:t>
      </w:r>
      <w:r>
        <w:rPr>
          <w:rFonts w:ascii="微软雅黑" w:eastAsia="微软雅黑" w:hAnsi="微软雅黑" w:cs="微软雅黑" w:hint="eastAsia"/>
          <w:color w:val="5C6B7A"/>
          <w:sz w:val="18"/>
        </w:rPr>
        <w:t>、</w:t>
      </w:r>
      <w:r>
        <w:rPr>
          <w:rFonts w:ascii="微软雅黑" w:eastAsia="微软雅黑" w:hAnsi="微软雅黑" w:cs="微软雅黑" w:hint="eastAsia"/>
          <w:color w:val="5C6B7A"/>
          <w:sz w:val="18"/>
        </w:rPr>
        <w:t>PVT</w:t>
      </w:r>
      <w:r>
        <w:rPr>
          <w:rFonts w:ascii="微软雅黑" w:eastAsia="微软雅黑" w:hAnsi="微软雅黑" w:cs="微软雅黑" w:hint="eastAsia"/>
          <w:color w:val="5C6B7A"/>
          <w:sz w:val="18"/>
        </w:rPr>
        <w:t>、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MP </w:t>
      </w:r>
      <w:r>
        <w:rPr>
          <w:rFonts w:ascii="微软雅黑" w:eastAsia="微软雅黑" w:hAnsi="微软雅黑" w:cs="微软雅黑" w:hint="eastAsia"/>
          <w:color w:val="5C6B7A"/>
          <w:sz w:val="18"/>
        </w:rPr>
        <w:t>各自回答的问题，附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ORW </w:t>
      </w:r>
      <w:r>
        <w:rPr>
          <w:rFonts w:ascii="微软雅黑" w:eastAsia="微软雅黑" w:hAnsi="微软雅黑" w:cs="微软雅黑" w:hint="eastAsia"/>
          <w:color w:val="5C6B7A"/>
          <w:sz w:val="18"/>
        </w:rPr>
        <w:t>机柜实例时间线</w:t>
      </w:r>
    </w:p>
    <w:p w14:paraId="36072493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 xml:space="preserve">ORW </w:t>
      </w:r>
      <w:r>
        <w:rPr>
          <w:rFonts w:ascii="微软雅黑" w:eastAsia="微软雅黑" w:hAnsi="微软雅黑" w:cs="微软雅黑" w:hint="eastAsia"/>
          <w:color w:val="1A2733"/>
        </w:rPr>
        <w:t>机柜提供了一个罕见的高质量公开样本。</w:t>
      </w:r>
      <w:r>
        <w:rPr>
          <w:rFonts w:ascii="微软雅黑" w:eastAsia="微软雅黑" w:hAnsi="微软雅黑" w:cs="微软雅黑" w:hint="eastAsia"/>
          <w:color w:val="1A2733"/>
        </w:rPr>
        <w:t xml:space="preserve">2025 </w:t>
      </w:r>
      <w:r>
        <w:rPr>
          <w:rFonts w:ascii="微软雅黑" w:eastAsia="微软雅黑" w:hAnsi="微软雅黑" w:cs="微软雅黑" w:hint="eastAsia"/>
          <w:color w:val="1A2733"/>
        </w:rPr>
        <w:t>年</w:t>
      </w:r>
      <w:r>
        <w:rPr>
          <w:rFonts w:ascii="微软雅黑" w:eastAsia="微软雅黑" w:hAnsi="微软雅黑" w:cs="微软雅黑" w:hint="eastAsia"/>
          <w:color w:val="1A2733"/>
        </w:rPr>
        <w:t xml:space="preserve"> 10 </w:t>
      </w:r>
      <w:r>
        <w:rPr>
          <w:rFonts w:ascii="微软雅黑" w:eastAsia="微软雅黑" w:hAnsi="微软雅黑" w:cs="微软雅黑" w:hint="eastAsia"/>
          <w:color w:val="1A2733"/>
        </w:rPr>
        <w:t>月</w:t>
      </w:r>
      <w:r>
        <w:rPr>
          <w:rFonts w:ascii="微软雅黑" w:eastAsia="微软雅黑" w:hAnsi="微软雅黑" w:cs="微软雅黑" w:hint="eastAsia"/>
          <w:color w:val="1A2733"/>
        </w:rPr>
        <w:t xml:space="preserve"> 14 </w:t>
      </w:r>
      <w:r>
        <w:rPr>
          <w:rFonts w:ascii="微软雅黑" w:eastAsia="微软雅黑" w:hAnsi="微软雅黑" w:cs="微软雅黑" w:hint="eastAsia"/>
          <w:color w:val="1A2733"/>
        </w:rPr>
        <w:t>日发布</w:t>
      </w:r>
      <w:r>
        <w:rPr>
          <w:rFonts w:ascii="微软雅黑" w:eastAsia="微软雅黑" w:hAnsi="微软雅黑" w:cs="微软雅黑" w:hint="eastAsia"/>
          <w:color w:val="1A2733"/>
        </w:rPr>
        <w:t xml:space="preserve"> v0.9.0 </w:t>
      </w:r>
      <w:r>
        <w:rPr>
          <w:rFonts w:ascii="微软雅黑" w:eastAsia="微软雅黑" w:hAnsi="微软雅黑" w:cs="微软雅黑" w:hint="eastAsia"/>
          <w:color w:val="1A2733"/>
        </w:rPr>
        <w:t>初稿；</w:t>
      </w:r>
      <w:r>
        <w:rPr>
          <w:rFonts w:ascii="微软雅黑" w:eastAsia="微软雅黑" w:hAnsi="微软雅黑" w:cs="微软雅黑" w:hint="eastAsia"/>
          <w:color w:val="1A2733"/>
        </w:rPr>
        <w:t xml:space="preserve">2026 </w:t>
      </w:r>
      <w:r>
        <w:rPr>
          <w:rFonts w:ascii="微软雅黑" w:eastAsia="微软雅黑" w:hAnsi="微软雅黑" w:cs="微软雅黑" w:hint="eastAsia"/>
          <w:color w:val="1A2733"/>
        </w:rPr>
        <w:t>年</w:t>
      </w:r>
      <w:r>
        <w:rPr>
          <w:rFonts w:ascii="微软雅黑" w:eastAsia="微软雅黑" w:hAnsi="微软雅黑" w:cs="微软雅黑" w:hint="eastAsia"/>
          <w:color w:val="1A2733"/>
        </w:rPr>
        <w:t xml:space="preserve"> 3 </w:t>
      </w:r>
      <w:r>
        <w:rPr>
          <w:rFonts w:ascii="微软雅黑" w:eastAsia="微软雅黑" w:hAnsi="微软雅黑" w:cs="微软雅黑" w:hint="eastAsia"/>
          <w:color w:val="1A2733"/>
        </w:rPr>
        <w:t>月</w:t>
      </w:r>
      <w:r>
        <w:rPr>
          <w:rFonts w:ascii="微软雅黑" w:eastAsia="微软雅黑" w:hAnsi="微软雅黑" w:cs="微软雅黑" w:hint="eastAsia"/>
          <w:color w:val="1A2733"/>
        </w:rPr>
        <w:t xml:space="preserve"> </w:t>
      </w:r>
      <w:r>
        <w:rPr>
          <w:rFonts w:ascii="微软雅黑" w:eastAsia="微软雅黑" w:hAnsi="微软雅黑" w:cs="微软雅黑" w:hint="eastAsia"/>
          <w:color w:val="1A2733"/>
        </w:rPr>
        <w:lastRenderedPageBreak/>
        <w:t xml:space="preserve">11 </w:t>
      </w:r>
      <w:r>
        <w:rPr>
          <w:rFonts w:ascii="微软雅黑" w:eastAsia="微软雅黑" w:hAnsi="微软雅黑" w:cs="微软雅黑" w:hint="eastAsia"/>
          <w:color w:val="1A2733"/>
        </w:rPr>
        <w:t>日</w:t>
      </w:r>
      <w:r>
        <w:rPr>
          <w:rFonts w:ascii="微软雅黑" w:eastAsia="微软雅黑" w:hAnsi="微软雅黑" w:cs="微软雅黑" w:hint="eastAsia"/>
          <w:color w:val="1A2733"/>
        </w:rPr>
        <w:t xml:space="preserve"> v0.9.5 </w:t>
      </w:r>
      <w:r>
        <w:rPr>
          <w:rFonts w:ascii="微软雅黑" w:eastAsia="微软雅黑" w:hAnsi="微软雅黑" w:cs="微软雅黑" w:hint="eastAsia"/>
          <w:color w:val="1A2733"/>
        </w:rPr>
        <w:t>贡献汇报；</w:t>
      </w:r>
      <w:r>
        <w:rPr>
          <w:rFonts w:ascii="微软雅黑" w:eastAsia="微软雅黑" w:hAnsi="微软雅黑" w:cs="微软雅黑" w:hint="eastAsia"/>
          <w:color w:val="1A2733"/>
        </w:rPr>
        <w:t xml:space="preserve">2026 </w:t>
      </w:r>
      <w:r>
        <w:rPr>
          <w:rFonts w:ascii="微软雅黑" w:eastAsia="微软雅黑" w:hAnsi="微软雅黑" w:cs="微软雅黑" w:hint="eastAsia"/>
          <w:color w:val="1A2733"/>
        </w:rPr>
        <w:t>年</w:t>
      </w:r>
      <w:r>
        <w:rPr>
          <w:rFonts w:ascii="微软雅黑" w:eastAsia="微软雅黑" w:hAnsi="微软雅黑" w:cs="微软雅黑" w:hint="eastAsia"/>
          <w:color w:val="1A2733"/>
        </w:rPr>
        <w:t xml:space="preserve"> 4 </w:t>
      </w:r>
      <w:r>
        <w:rPr>
          <w:rFonts w:ascii="微软雅黑" w:eastAsia="微软雅黑" w:hAnsi="微软雅黑" w:cs="微软雅黑" w:hint="eastAsia"/>
          <w:color w:val="1A2733"/>
        </w:rPr>
        <w:t>月</w:t>
      </w:r>
      <w:r>
        <w:rPr>
          <w:rFonts w:ascii="微软雅黑" w:eastAsia="微软雅黑" w:hAnsi="微软雅黑" w:cs="微软雅黑" w:hint="eastAsia"/>
          <w:color w:val="1A2733"/>
        </w:rPr>
        <w:t xml:space="preserve"> 28 </w:t>
      </w:r>
      <w:r>
        <w:rPr>
          <w:rFonts w:ascii="微软雅黑" w:eastAsia="微软雅黑" w:hAnsi="微软雅黑" w:cs="微软雅黑" w:hint="eastAsia"/>
          <w:color w:val="1A2733"/>
        </w:rPr>
        <w:t>日</w:t>
      </w:r>
      <w:r>
        <w:rPr>
          <w:rFonts w:ascii="微软雅黑" w:eastAsia="微软雅黑" w:hAnsi="微软雅黑" w:cs="微软雅黑" w:hint="eastAsia"/>
          <w:color w:val="1A2733"/>
        </w:rPr>
        <w:t xml:space="preserve"> v1.0.0 </w:t>
      </w:r>
      <w:r>
        <w:rPr>
          <w:rFonts w:ascii="微软雅黑" w:eastAsia="微软雅黑" w:hAnsi="微软雅黑" w:cs="微软雅黑" w:hint="eastAsia"/>
          <w:color w:val="1A2733"/>
        </w:rPr>
        <w:t>正式发布（</w:t>
      </w:r>
      <w:r>
        <w:rPr>
          <w:rFonts w:ascii="微软雅黑" w:eastAsia="微软雅黑" w:hAnsi="微软雅黑" w:cs="微软雅黑" w:hint="eastAsia"/>
          <w:color w:val="1A2733"/>
        </w:rPr>
        <w:t xml:space="preserve">Base Spec </w:t>
      </w:r>
      <w:r>
        <w:rPr>
          <w:rFonts w:ascii="微软雅黑" w:eastAsia="微软雅黑" w:hAnsi="微软雅黑" w:cs="微软雅黑" w:hint="eastAsia"/>
          <w:color w:val="1A2733"/>
        </w:rPr>
        <w:t>与</w:t>
      </w:r>
      <w:r>
        <w:rPr>
          <w:rFonts w:ascii="微软雅黑" w:eastAsia="微软雅黑" w:hAnsi="微软雅黑" w:cs="微软雅黑" w:hint="eastAsia"/>
          <w:color w:val="1A2733"/>
        </w:rPr>
        <w:t xml:space="preserve"> Meta Design Spec</w:t>
      </w:r>
      <w:r>
        <w:rPr>
          <w:rFonts w:ascii="微软雅黑" w:eastAsia="微软雅黑" w:hAnsi="微软雅黑" w:cs="微软雅黑" w:hint="eastAsia"/>
          <w:color w:val="1A2733"/>
        </w:rPr>
        <w:t>）；此后经历三次工程构建阶段进入</w:t>
      </w:r>
      <w:r>
        <w:rPr>
          <w:rFonts w:ascii="微软雅黑" w:eastAsia="微软雅黑" w:hAnsi="微软雅黑" w:cs="微软雅黑" w:hint="eastAsia"/>
          <w:color w:val="1A2733"/>
        </w:rPr>
        <w:t xml:space="preserve"> PVT</w:t>
      </w:r>
      <w:r>
        <w:rPr>
          <w:rFonts w:ascii="微软雅黑" w:eastAsia="微软雅黑" w:hAnsi="微软雅黑" w:cs="微软雅黑" w:hint="eastAsia"/>
          <w:color w:val="1A2733"/>
        </w:rPr>
        <w:t>，逐版对照</w:t>
      </w:r>
      <w:r>
        <w:rPr>
          <w:rFonts w:ascii="微软雅黑" w:eastAsia="微软雅黑" w:hAnsi="微软雅黑" w:cs="微软雅黑" w:hint="eastAsia"/>
          <w:color w:val="1A2733"/>
        </w:rPr>
        <w:t xml:space="preserve"> CAD </w:t>
      </w:r>
      <w:r>
        <w:rPr>
          <w:rFonts w:ascii="微软雅黑" w:eastAsia="微软雅黑" w:hAnsi="微软雅黑" w:cs="微软雅黑" w:hint="eastAsia"/>
          <w:color w:val="1A2733"/>
        </w:rPr>
        <w:t>冻结并明确每个样件的进</w:t>
      </w:r>
      <w:r>
        <w:rPr>
          <w:rFonts w:ascii="微软雅黑" w:eastAsia="微软雅黑" w:hAnsi="微软雅黑" w:cs="微软雅黑" w:hint="eastAsia"/>
          <w:color w:val="1A2733"/>
        </w:rPr>
        <w:t>/</w:t>
      </w:r>
      <w:r>
        <w:rPr>
          <w:rFonts w:ascii="微软雅黑" w:eastAsia="微软雅黑" w:hAnsi="微软雅黑" w:cs="微软雅黑" w:hint="eastAsia"/>
          <w:color w:val="1A2733"/>
        </w:rPr>
        <w:t>出范围；</w:t>
      </w:r>
      <w:r>
        <w:rPr>
          <w:rFonts w:ascii="微软雅黑" w:eastAsia="微软雅黑" w:hAnsi="微软雅黑" w:cs="微软雅黑" w:hint="eastAsia"/>
          <w:color w:val="1A2733"/>
        </w:rPr>
        <w:t xml:space="preserve">2026 </w:t>
      </w:r>
      <w:r>
        <w:rPr>
          <w:rFonts w:ascii="微软雅黑" w:eastAsia="微软雅黑" w:hAnsi="微软雅黑" w:cs="微软雅黑" w:hint="eastAsia"/>
          <w:color w:val="1A2733"/>
        </w:rPr>
        <w:t>年</w:t>
      </w:r>
      <w:r>
        <w:rPr>
          <w:rFonts w:ascii="微软雅黑" w:eastAsia="微软雅黑" w:hAnsi="微软雅黑" w:cs="微软雅黑" w:hint="eastAsia"/>
          <w:color w:val="1A2733"/>
        </w:rPr>
        <w:t xml:space="preserve"> 11 </w:t>
      </w:r>
      <w:r>
        <w:rPr>
          <w:rFonts w:ascii="微软雅黑" w:eastAsia="微软雅黑" w:hAnsi="微软雅黑" w:cs="微软雅黑" w:hint="eastAsia"/>
          <w:color w:val="1A2733"/>
        </w:rPr>
        <w:t>月启动</w:t>
      </w:r>
      <w:r>
        <w:rPr>
          <w:rFonts w:ascii="微软雅黑" w:eastAsia="微软雅黑" w:hAnsi="微软雅黑" w:cs="微软雅黑" w:hint="eastAsia"/>
          <w:color w:val="1A2733"/>
        </w:rPr>
        <w:t xml:space="preserve"> MP </w:t>
      </w:r>
      <w:r>
        <w:rPr>
          <w:rFonts w:ascii="微软雅黑" w:eastAsia="微软雅黑" w:hAnsi="微软雅黑" w:cs="微软雅黑" w:hint="eastAsia"/>
          <w:color w:val="1A2733"/>
        </w:rPr>
        <w:t>量产爬坡，全自动、半自动、手动三条产线并行。</w:t>
      </w:r>
    </w:p>
    <w:p w14:paraId="4B12F8FD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从规范发布到量产爬坡约十三个月。这个时间跨度不是在修设计，而是在做三件事：把设计意图转化为可制造的几何与公差（</w:t>
      </w:r>
      <w:r>
        <w:rPr>
          <w:rFonts w:ascii="微软雅黑" w:eastAsia="微软雅黑" w:hAnsi="微软雅黑" w:cs="微软雅黑" w:hint="eastAsia"/>
          <w:color w:val="1A2733"/>
        </w:rPr>
        <w:t>DVT</w:t>
      </w:r>
      <w:r>
        <w:rPr>
          <w:rFonts w:ascii="微软雅黑" w:eastAsia="微软雅黑" w:hAnsi="微软雅黑" w:cs="微软雅黑" w:hint="eastAsia"/>
          <w:color w:val="1A2733"/>
        </w:rPr>
        <w:t>→</w:t>
      </w:r>
      <w:r>
        <w:rPr>
          <w:rFonts w:ascii="微软雅黑" w:eastAsia="微软雅黑" w:hAnsi="微软雅黑" w:cs="微软雅黑" w:hint="eastAsia"/>
          <w:color w:val="1A2733"/>
        </w:rPr>
        <w:t xml:space="preserve">PVT </w:t>
      </w:r>
      <w:r>
        <w:rPr>
          <w:rFonts w:ascii="微软雅黑" w:eastAsia="微软雅黑" w:hAnsi="微软雅黑" w:cs="微软雅黑" w:hint="eastAsia"/>
          <w:color w:val="1A2733"/>
        </w:rPr>
        <w:t>的</w:t>
      </w:r>
      <w:r>
        <w:rPr>
          <w:rFonts w:ascii="微软雅黑" w:eastAsia="微软雅黑" w:hAnsi="微软雅黑" w:cs="微软雅黑" w:hint="eastAsia"/>
          <w:color w:val="1A2733"/>
        </w:rPr>
        <w:t xml:space="preserve"> 0.5 mm </w:t>
      </w:r>
      <w:r>
        <w:rPr>
          <w:rFonts w:ascii="微软雅黑" w:eastAsia="微软雅黑" w:hAnsi="微软雅黑" w:cs="微软雅黑" w:hint="eastAsia"/>
          <w:color w:val="1A2733"/>
        </w:rPr>
        <w:t>基准偏移、</w:t>
      </w:r>
      <w:r>
        <w:rPr>
          <w:rFonts w:ascii="微软雅黑" w:eastAsia="微软雅黑" w:hAnsi="微软雅黑" w:cs="微软雅黑" w:hint="eastAsia"/>
          <w:color w:val="1A2733"/>
        </w:rPr>
        <w:t>44.7</w:t>
      </w:r>
      <w:r>
        <w:rPr>
          <w:rFonts w:ascii="微软雅黑" w:eastAsia="微软雅黑" w:hAnsi="微软雅黑" w:cs="微软雅黑" w:hint="eastAsia"/>
          <w:color w:val="1A2733"/>
        </w:rPr>
        <w:t>→</w:t>
      </w:r>
      <w:r>
        <w:rPr>
          <w:rFonts w:ascii="微软雅黑" w:eastAsia="微软雅黑" w:hAnsi="微软雅黑" w:cs="微软雅黑" w:hint="eastAsia"/>
          <w:color w:val="1A2733"/>
        </w:rPr>
        <w:t xml:space="preserve">44.2 mm </w:t>
      </w:r>
      <w:r>
        <w:rPr>
          <w:rFonts w:ascii="微软雅黑" w:eastAsia="微软雅黑" w:hAnsi="微软雅黑" w:cs="微软雅黑" w:hint="eastAsia"/>
          <w:color w:val="1A2733"/>
        </w:rPr>
        <w:t>台阶修整、铆接式导轨卡扣、</w:t>
      </w:r>
      <w:r>
        <w:rPr>
          <w:rFonts w:ascii="微软雅黑" w:eastAsia="微软雅黑" w:hAnsi="微软雅黑" w:cs="微软雅黑" w:hint="eastAsia"/>
          <w:color w:val="1A2733"/>
        </w:rPr>
        <w:t xml:space="preserve">625 N </w:t>
      </w:r>
      <w:r>
        <w:rPr>
          <w:rFonts w:ascii="微软雅黑" w:eastAsia="微软雅黑" w:hAnsi="微软雅黑" w:cs="微软雅黑" w:hint="eastAsia"/>
          <w:color w:val="1A2733"/>
        </w:rPr>
        <w:t>拉出力目标）；把手工装配转化为可重复的工装与夹具（基准定位、方形度控制）；把单件能力转化为产能（零件通用化、焊接可达性、涂装排气与排水、模内标识以防与</w:t>
      </w:r>
      <w:r>
        <w:rPr>
          <w:rFonts w:ascii="微软雅黑" w:eastAsia="微软雅黑" w:hAnsi="微软雅黑" w:cs="微软雅黑" w:hint="eastAsia"/>
          <w:color w:val="1A2733"/>
        </w:rPr>
        <w:t xml:space="preserve"> ORv3 </w:t>
      </w:r>
      <w:r>
        <w:rPr>
          <w:rFonts w:ascii="微软雅黑" w:eastAsia="微软雅黑" w:hAnsi="微软雅黑" w:cs="微软雅黑" w:hint="eastAsia"/>
          <w:color w:val="1A2733"/>
        </w:rPr>
        <w:t>混线）。</w:t>
      </w:r>
    </w:p>
    <w:p w14:paraId="31E6D6BB" w14:textId="77777777" w:rsidR="006C1AF3" w:rsidRDefault="004B2385">
      <w:pPr>
        <w:pBdr>
          <w:left w:val="single" w:sz="24" w:space="0" w:color="1F4E79"/>
        </w:pBdr>
        <w:shd w:val="clear" w:color="auto" w:fill="F4F7FA"/>
        <w:spacing w:before="200" w:after="200" w:line="388" w:lineRule="auto"/>
        <w:ind w:left="200" w:right="200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可以直接引用的一句话：</w:t>
      </w:r>
      <w:r>
        <w:rPr>
          <w:rFonts w:ascii="微软雅黑" w:eastAsia="微软雅黑" w:hAnsi="微软雅黑" w:cs="微软雅黑" w:hint="eastAsia"/>
          <w:color w:val="1A2733"/>
        </w:rPr>
        <w:t xml:space="preserve">ORW </w:t>
      </w:r>
      <w:r>
        <w:rPr>
          <w:rFonts w:ascii="微软雅黑" w:eastAsia="微软雅黑" w:hAnsi="微软雅黑" w:cs="微软雅黑" w:hint="eastAsia"/>
          <w:color w:val="1A2733"/>
        </w:rPr>
        <w:t>的</w:t>
      </w:r>
      <w:r>
        <w:rPr>
          <w:rFonts w:ascii="微软雅黑" w:eastAsia="微软雅黑" w:hAnsi="微软雅黑" w:cs="微软雅黑" w:hint="eastAsia"/>
          <w:color w:val="1A2733"/>
        </w:rPr>
        <w:t xml:space="preserve"> PVT </w:t>
      </w:r>
      <w:r>
        <w:rPr>
          <w:rFonts w:ascii="微软雅黑" w:eastAsia="微软雅黑" w:hAnsi="微软雅黑" w:cs="微软雅黑" w:hint="eastAsia"/>
          <w:color w:val="1A2733"/>
        </w:rPr>
        <w:t>阶段描述是「更硬、更方、为量产而建」（</w:t>
      </w:r>
      <w:r>
        <w:rPr>
          <w:rFonts w:ascii="微软雅黑" w:eastAsia="微软雅黑" w:hAnsi="微软雅黑" w:cs="微软雅黑" w:hint="eastAsia"/>
          <w:color w:val="1A2733"/>
        </w:rPr>
        <w:t>stiffer, squarer, and built for volume</w:t>
      </w:r>
      <w:r>
        <w:rPr>
          <w:rFonts w:ascii="微软雅黑" w:eastAsia="微软雅黑" w:hAnsi="微软雅黑" w:cs="微软雅黑" w:hint="eastAsia"/>
          <w:color w:val="1A2733"/>
        </w:rPr>
        <w:t>）。这三个词恰好对应量产化的三个技术动作——结构、公差、产能。任何一个缺席，都不能称为可量产。</w:t>
      </w:r>
    </w:p>
    <w:p w14:paraId="7FC88F15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6.4 </w:t>
      </w:r>
      <w:r>
        <w:rPr>
          <w:rFonts w:ascii="微软雅黑" w:eastAsia="微软雅黑" w:hAnsi="微软雅黑" w:cs="微软雅黑" w:hint="eastAsia"/>
          <w:color w:val="1F4E79"/>
        </w:rPr>
        <w:t>量产就绪的六道门</w:t>
      </w:r>
    </w:p>
    <w:p w14:paraId="4C261FF3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把上述逻辑落成可执行的门禁，建议设置六道门，每道门有明确的进入与退出条件。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491"/>
        <w:gridCol w:w="4653"/>
      </w:tblGrid>
      <w:tr w:rsidR="006C1AF3" w14:paraId="18DA93CC" w14:textId="77777777">
        <w:trPr>
          <w:cantSplit/>
          <w:tblHeader/>
        </w:trPr>
        <w:tc>
          <w:tcPr>
            <w:tcW w:w="116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A488EA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门</w:t>
            </w:r>
          </w:p>
        </w:tc>
        <w:tc>
          <w:tcPr>
            <w:tcW w:w="249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255877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进入条件</w:t>
            </w:r>
          </w:p>
        </w:tc>
        <w:tc>
          <w:tcPr>
            <w:tcW w:w="465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BFB6F5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退出条件（缺一不可）</w:t>
            </w:r>
          </w:p>
        </w:tc>
      </w:tr>
      <w:tr w:rsidR="006C1AF3" w14:paraId="156640E9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4B4D5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G0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情报入库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9F9E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官方来源与版本可追溯</w:t>
            </w:r>
          </w:p>
        </w:tc>
        <w:tc>
          <w:tcPr>
            <w:tcW w:w="4653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64C9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完成事实、声明、分析的标签区分</w:t>
            </w:r>
          </w:p>
        </w:tc>
      </w:tr>
      <w:tr w:rsidR="006C1AF3" w14:paraId="2FD1C49F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4F99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G1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预研立项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90D7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问题明确且与产品路线相关</w:t>
            </w:r>
          </w:p>
        </w:tc>
        <w:tc>
          <w:tcPr>
            <w:tcW w:w="4653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6A417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完成可证伪假设与实验设计</w:t>
            </w:r>
          </w:p>
        </w:tc>
      </w:tr>
      <w:tr w:rsidR="006C1AF3" w14:paraId="63EADDBA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0DF6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G2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联合验证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8465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接口趋于稳定，伙伴可提供样机</w:t>
            </w:r>
          </w:p>
        </w:tc>
        <w:tc>
          <w:tcPr>
            <w:tcW w:w="4653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061F6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跨域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DVP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通过，未闭环风险已记录并分级</w:t>
            </w:r>
          </w:p>
        </w:tc>
      </w:tr>
      <w:tr w:rsidR="006C1AF3" w14:paraId="100A9E46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90DB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G3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平台导入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0544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两种以上独立证据支持成熟度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M3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以上</w:t>
            </w:r>
          </w:p>
        </w:tc>
        <w:tc>
          <w:tcPr>
            <w:tcW w:w="4653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E6BC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供应链、质量、安全、服务评审通过</w:t>
            </w:r>
          </w:p>
        </w:tc>
      </w:tr>
      <w:tr w:rsidR="006C1AF3" w14:paraId="476ADD69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68E25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G4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量产承诺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7C316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配置与规格冻结，变更机制明确</w:t>
            </w:r>
          </w:p>
        </w:tc>
        <w:tc>
          <w:tcPr>
            <w:tcW w:w="4653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3EBD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L10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–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L12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与现场验收闭环；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WCI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与逃逸率达标</w:t>
            </w:r>
          </w:p>
        </w:tc>
      </w:tr>
      <w:tr w:rsidR="006C1AF3" w14:paraId="75A464B6" w14:textId="77777777">
        <w:trPr>
          <w:cantSplit/>
        </w:trPr>
        <w:tc>
          <w:tcPr>
            <w:tcW w:w="116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CE43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G5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爬坡放量</w:t>
            </w:r>
          </w:p>
        </w:tc>
        <w:tc>
          <w:tcPr>
            <w:tcW w:w="2491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C722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首批交付完成且现场数据回流</w:t>
            </w:r>
          </w:p>
        </w:tc>
        <w:tc>
          <w:tcPr>
            <w:tcW w:w="4653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4A115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连续三批良率与逃逸率稳定；变更通知流程运转</w:t>
            </w:r>
          </w:p>
        </w:tc>
      </w:tr>
    </w:tbl>
    <w:p w14:paraId="3EB8A243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表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8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量产就绪的六道门（</w:t>
      </w:r>
      <w:r>
        <w:rPr>
          <w:rFonts w:ascii="微软雅黑" w:eastAsia="微软雅黑" w:hAnsi="微软雅黑" w:cs="微软雅黑" w:hint="eastAsia"/>
          <w:color w:val="5C6B7A"/>
          <w:sz w:val="18"/>
        </w:rPr>
        <w:t>G0</w:t>
      </w:r>
      <w:r>
        <w:rPr>
          <w:rFonts w:ascii="微软雅黑" w:eastAsia="微软雅黑" w:hAnsi="微软雅黑" w:cs="微软雅黑" w:hint="eastAsia"/>
          <w:color w:val="5C6B7A"/>
          <w:sz w:val="18"/>
        </w:rPr>
        <w:t>–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G3 </w:t>
      </w:r>
      <w:r>
        <w:rPr>
          <w:rFonts w:ascii="微软雅黑" w:eastAsia="微软雅黑" w:hAnsi="微软雅黑" w:cs="微软雅黑" w:hint="eastAsia"/>
          <w:color w:val="5C6B7A"/>
          <w:sz w:val="18"/>
        </w:rPr>
        <w:t>沿用原报告，</w:t>
      </w:r>
      <w:r>
        <w:rPr>
          <w:rFonts w:ascii="微软雅黑" w:eastAsia="微软雅黑" w:hAnsi="微软雅黑" w:cs="微软雅黑" w:hint="eastAsia"/>
          <w:color w:val="5C6B7A"/>
          <w:sz w:val="18"/>
        </w:rPr>
        <w:t>G4</w:t>
      </w:r>
      <w:r>
        <w:rPr>
          <w:rFonts w:ascii="微软雅黑" w:eastAsia="微软雅黑" w:hAnsi="微软雅黑" w:cs="微软雅黑" w:hint="eastAsia"/>
          <w:color w:val="5C6B7A"/>
          <w:sz w:val="18"/>
        </w:rPr>
        <w:t>–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G5 </w:t>
      </w:r>
      <w:r>
        <w:rPr>
          <w:rFonts w:ascii="微软雅黑" w:eastAsia="微软雅黑" w:hAnsi="微软雅黑" w:cs="微软雅黑" w:hint="eastAsia"/>
          <w:color w:val="5C6B7A"/>
          <w:sz w:val="18"/>
        </w:rPr>
        <w:t>为本文扩展）</w:t>
      </w:r>
    </w:p>
    <w:p w14:paraId="4C35BFD4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lastRenderedPageBreak/>
        <w:t xml:space="preserve">6.5 </w:t>
      </w:r>
      <w:r>
        <w:rPr>
          <w:rFonts w:ascii="微软雅黑" w:eastAsia="微软雅黑" w:hAnsi="微软雅黑" w:cs="微软雅黑" w:hint="eastAsia"/>
          <w:color w:val="1F4E79"/>
        </w:rPr>
        <w:t>三条典型翻车路径</w:t>
      </w:r>
    </w:p>
    <w:p w14:paraId="450CF98A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以下三条路径是根据</w:t>
      </w:r>
      <w:r>
        <w:rPr>
          <w:rFonts w:ascii="微软雅黑" w:eastAsia="微软雅黑" w:hAnsi="微软雅黑" w:cs="微软雅黑" w:hint="eastAsia"/>
          <w:color w:val="1A2733"/>
        </w:rPr>
        <w:t xml:space="preserve"> L10</w:t>
      </w:r>
      <w:r>
        <w:rPr>
          <w:rFonts w:ascii="微软雅黑" w:eastAsia="微软雅黑" w:hAnsi="微软雅黑" w:cs="微软雅黑" w:hint="eastAsia"/>
          <w:color w:val="1A2733"/>
        </w:rPr>
        <w:t>–</w:t>
      </w:r>
      <w:r>
        <w:rPr>
          <w:rFonts w:ascii="微软雅黑" w:eastAsia="微软雅黑" w:hAnsi="微软雅黑" w:cs="微软雅黑" w:hint="eastAsia"/>
          <w:color w:val="1A2733"/>
        </w:rPr>
        <w:t xml:space="preserve">L12 </w:t>
      </w:r>
      <w:r>
        <w:rPr>
          <w:rFonts w:ascii="微软雅黑" w:eastAsia="微软雅黑" w:hAnsi="微软雅黑" w:cs="微软雅黑" w:hint="eastAsia"/>
          <w:color w:val="1A2733"/>
        </w:rPr>
        <w:t>的失效边界推演出的典型场景，属于</w:t>
      </w:r>
      <w:r>
        <w:rPr>
          <w:rFonts w:ascii="微软雅黑" w:eastAsia="微软雅黑" w:hAnsi="微软雅黑" w:cs="微软雅黑" w:hint="eastAsia"/>
          <w:color w:val="1A2733"/>
        </w:rPr>
        <w:t xml:space="preserve"> C </w:t>
      </w:r>
      <w:r>
        <w:rPr>
          <w:rFonts w:ascii="微软雅黑" w:eastAsia="微软雅黑" w:hAnsi="微软雅黑" w:cs="微软雅黑" w:hint="eastAsia"/>
          <w:color w:val="1A2733"/>
        </w:rPr>
        <w:t>级分析，用于风险识别而非事实陈述。</w:t>
      </w:r>
    </w:p>
    <w:p w14:paraId="1DCDEE97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路径一：卡匣就位不良的延迟爆发。</w:t>
      </w:r>
      <w:r>
        <w:rPr>
          <w:rFonts w:ascii="微软雅黑" w:eastAsia="微软雅黑" w:hAnsi="微软雅黑" w:cs="微软雅黑" w:hint="eastAsia"/>
          <w:color w:val="1A2733"/>
        </w:rPr>
        <w:t>样机阶段由原厂工程师装配，卡匣压接到位；量产阶段由普通作业员操作，压接行程差</w:t>
      </w:r>
      <w:r>
        <w:rPr>
          <w:rFonts w:ascii="微软雅黑" w:eastAsia="微软雅黑" w:hAnsi="微软雅黑" w:cs="微软雅黑" w:hint="eastAsia"/>
          <w:color w:val="1A2733"/>
        </w:rPr>
        <w:t xml:space="preserve"> 0.3 mm</w:t>
      </w:r>
      <w:r>
        <w:rPr>
          <w:rFonts w:ascii="微软雅黑" w:eastAsia="微软雅黑" w:hAnsi="微软雅黑" w:cs="微软雅黑" w:hint="eastAsia"/>
          <w:color w:val="1A2733"/>
        </w:rPr>
        <w:t>。</w:t>
      </w:r>
      <w:r>
        <w:rPr>
          <w:rFonts w:ascii="微软雅黑" w:eastAsia="微软雅黑" w:hAnsi="微软雅黑" w:cs="微软雅黑" w:hint="eastAsia"/>
          <w:color w:val="1A2733"/>
        </w:rPr>
        <w:t xml:space="preserve">L10 </w:t>
      </w:r>
      <w:r>
        <w:rPr>
          <w:rFonts w:ascii="微软雅黑" w:eastAsia="微软雅黑" w:hAnsi="微软雅黑" w:cs="微软雅黑" w:hint="eastAsia"/>
          <w:color w:val="1A2733"/>
        </w:rPr>
        <w:t>全部通过（托盘层面无异常），</w:t>
      </w:r>
      <w:r>
        <w:rPr>
          <w:rFonts w:ascii="微软雅黑" w:eastAsia="微软雅黑" w:hAnsi="微软雅黑" w:cs="微软雅黑" w:hint="eastAsia"/>
          <w:color w:val="1A2733"/>
        </w:rPr>
        <w:t xml:space="preserve">L11 </w:t>
      </w:r>
      <w:r>
        <w:rPr>
          <w:rFonts w:ascii="微软雅黑" w:eastAsia="微软雅黑" w:hAnsi="微软雅黑" w:cs="微软雅黑" w:hint="eastAsia"/>
          <w:color w:val="1A2733"/>
        </w:rPr>
        <w:t>若只做连通性检查也会通过；问题在集群满负载训练时以间歇性</w:t>
      </w:r>
      <w:r>
        <w:rPr>
          <w:rFonts w:ascii="微软雅黑" w:eastAsia="微软雅黑" w:hAnsi="微软雅黑" w:cs="微软雅黑" w:hint="eastAsia"/>
          <w:color w:val="1A2733"/>
        </w:rPr>
        <w:t xml:space="preserve"> NCCL </w:t>
      </w:r>
      <w:r>
        <w:rPr>
          <w:rFonts w:ascii="微软雅黑" w:eastAsia="微软雅黑" w:hAnsi="微软雅黑" w:cs="微软雅黑" w:hint="eastAsia"/>
          <w:color w:val="1A2733"/>
        </w:rPr>
        <w:t>超时出现，定位耗时数天，最终通过更换整组线缆解决。这类问题的特征是「电气连通但链路余量不足」。</w:t>
      </w:r>
    </w:p>
    <w:p w14:paraId="0046C6F7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路径二：液路微漏的运输诱发。</w:t>
      </w:r>
      <w:r>
        <w:rPr>
          <w:rFonts w:ascii="微软雅黑" w:eastAsia="微软雅黑" w:hAnsi="微软雅黑" w:cs="微软雅黑" w:hint="eastAsia"/>
          <w:color w:val="1A2733"/>
        </w:rPr>
        <w:t>出厂保压合格，运输途中因振动导致某接头微动，</w:t>
      </w:r>
      <w:r>
        <w:rPr>
          <w:rFonts w:ascii="微软雅黑" w:eastAsia="微软雅黑" w:hAnsi="微软雅黑" w:cs="微软雅黑" w:hint="eastAsia"/>
          <w:color w:val="1A2733"/>
        </w:rPr>
        <w:t xml:space="preserve">O </w:t>
      </w:r>
      <w:r>
        <w:rPr>
          <w:rFonts w:ascii="微软雅黑" w:eastAsia="微软雅黑" w:hAnsi="微软雅黑" w:cs="微软雅黑" w:hint="eastAsia"/>
          <w:color w:val="1A2733"/>
        </w:rPr>
        <w:t>圈产生不可逆压痕。现场灌注后不漏，运行三周后在补液量趋势上出现异常。若系统没有补液量遥测，这一信号完全不可见，最终表现为机柜局部热点与降频。</w:t>
      </w:r>
    </w:p>
    <w:p w14:paraId="364B965F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路径三：工况覆盖缺失导致的边界失效。</w:t>
      </w:r>
      <w:r>
        <w:rPr>
          <w:rFonts w:ascii="微软雅黑" w:eastAsia="微软雅黑" w:hAnsi="微软雅黑" w:cs="微软雅黑" w:hint="eastAsia"/>
          <w:color w:val="1A2733"/>
        </w:rPr>
        <w:t>全部测试在常温满载稳态下完成，覆盖率报表显示</w:t>
      </w:r>
      <w:r>
        <w:rPr>
          <w:rFonts w:ascii="微软雅黑" w:eastAsia="微软雅黑" w:hAnsi="微软雅黑" w:cs="微软雅黑" w:hint="eastAsia"/>
          <w:color w:val="1A2733"/>
        </w:rPr>
        <w:t xml:space="preserve"> 92%</w:t>
      </w:r>
      <w:r>
        <w:rPr>
          <w:rFonts w:ascii="微软雅黑" w:eastAsia="微软雅黑" w:hAnsi="微软雅黑" w:cs="微软雅黑" w:hint="eastAsia"/>
          <w:color w:val="1A2733"/>
        </w:rPr>
        <w:t>。实际交付地环境温度高出</w:t>
      </w:r>
      <w:r>
        <w:rPr>
          <w:rFonts w:ascii="微软雅黑" w:eastAsia="微软雅黑" w:hAnsi="微软雅黑" w:cs="微软雅黑" w:hint="eastAsia"/>
          <w:color w:val="1A2733"/>
        </w:rPr>
        <w:t xml:space="preserve"> 8 </w:t>
      </w:r>
      <w:r>
        <w:rPr>
          <w:rFonts w:ascii="微软雅黑" w:eastAsia="微软雅黑" w:hAnsi="微软雅黑" w:cs="微软雅黑" w:hint="eastAsia"/>
          <w:color w:val="1A2733"/>
        </w:rPr>
        <w:t>℃，冷却液供水温度相应上升，冷板热阻在部分负载下不满足要求，触发降频。问题不在设计，而在验证矩阵从未包含该工况组合。</w:t>
      </w:r>
    </w:p>
    <w:p w14:paraId="0CD48D8A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t>七、把这条评估维度变成管理工具</w:t>
      </w:r>
    </w:p>
    <w:p w14:paraId="51468C85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7.1 </w:t>
      </w:r>
      <w:r>
        <w:rPr>
          <w:rFonts w:ascii="微软雅黑" w:eastAsia="微软雅黑" w:hAnsi="微软雅黑" w:cs="微软雅黑" w:hint="eastAsia"/>
          <w:color w:val="1F4E79"/>
        </w:rPr>
        <w:t>可制造性证据卡</w:t>
      </w:r>
    </w:p>
    <w:p w14:paraId="1A89BCA9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建议为每一个机柜型号维护一张证据卡，作为</w:t>
      </w:r>
      <w:r>
        <w:rPr>
          <w:rFonts w:ascii="微软雅黑" w:eastAsia="微软雅黑" w:hAnsi="微软雅黑" w:cs="微软雅黑" w:hint="eastAsia"/>
          <w:color w:val="1A2733"/>
        </w:rPr>
        <w:t xml:space="preserve"> G4 </w:t>
      </w:r>
      <w:r>
        <w:rPr>
          <w:rFonts w:ascii="微软雅黑" w:eastAsia="微软雅黑" w:hAnsi="微软雅黑" w:cs="微软雅黑" w:hint="eastAsia"/>
          <w:color w:val="1A2733"/>
        </w:rPr>
        <w:t>门禁的必备附件。卡片的字段设计原则是：每一项都必须能指向一个可打开的文件，而不是一句结论。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824"/>
        <w:gridCol w:w="3655"/>
      </w:tblGrid>
      <w:tr w:rsidR="006C1AF3" w14:paraId="7C328503" w14:textId="77777777">
        <w:trPr>
          <w:cantSplit/>
          <w:tblHeader/>
        </w:trPr>
        <w:tc>
          <w:tcPr>
            <w:tcW w:w="182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1759EA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字段</w:t>
            </w:r>
          </w:p>
        </w:tc>
        <w:tc>
          <w:tcPr>
            <w:tcW w:w="282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E13A86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内容要求</w:t>
            </w:r>
          </w:p>
        </w:tc>
        <w:tc>
          <w:tcPr>
            <w:tcW w:w="365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8F22B0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可接受的最小证据</w:t>
            </w:r>
          </w:p>
        </w:tc>
      </w:tr>
      <w:tr w:rsidR="006C1AF3" w14:paraId="37F4B35D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5C47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测试矩阵版本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E02B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L10 / L11 / L12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各自的测试项清单与版本号</w:t>
            </w:r>
          </w:p>
        </w:tc>
        <w:tc>
          <w:tcPr>
            <w:tcW w:w="365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BBE6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受控文档，含变更记录</w:t>
            </w:r>
          </w:p>
        </w:tc>
      </w:tr>
      <w:tr w:rsidR="006C1AF3" w14:paraId="6B50868E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1BBD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覆盖率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11FA0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四层覆盖各自的分子分母与计算结果，合成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WCI</w:t>
            </w:r>
          </w:p>
        </w:tc>
        <w:tc>
          <w:tcPr>
            <w:tcW w:w="365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6E6C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计算表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+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原始执行记录</w:t>
            </w:r>
          </w:p>
        </w:tc>
      </w:tr>
      <w:tr w:rsidR="006C1AF3" w14:paraId="63E448EC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6F83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lastRenderedPageBreak/>
              <w:t>线缆验证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C13F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五个层级的执行情况；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TDR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曲线样本；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NCCL busbw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与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#wrong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记录</w:t>
            </w:r>
          </w:p>
        </w:tc>
        <w:tc>
          <w:tcPr>
            <w:tcW w:w="365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7C6D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原始曲线与测试日志</w:t>
            </w:r>
          </w:p>
        </w:tc>
      </w:tr>
      <w:tr w:rsidR="006C1AF3" w14:paraId="48A60AAB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E7A9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液路验证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30D6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保压曲线、氦检记录、流量分配、清洁度、失流试验、运输试验</w:t>
            </w:r>
          </w:p>
        </w:tc>
        <w:tc>
          <w:tcPr>
            <w:tcW w:w="365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570D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原始数据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+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判据对照</w:t>
            </w:r>
          </w:p>
        </w:tc>
      </w:tr>
      <w:tr w:rsidR="006C1AF3" w14:paraId="1AF73AB5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42EE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故障注入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8BD5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注入清单、检出结果、误报记录、检出时延</w:t>
            </w:r>
          </w:p>
        </w:tc>
        <w:tc>
          <w:tcPr>
            <w:tcW w:w="365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3C55C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注入脚本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+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日志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+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结论</w:t>
            </w:r>
          </w:p>
        </w:tc>
      </w:tr>
      <w:tr w:rsidR="006C1AF3" w14:paraId="46154821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3F4E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良率与节拍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69F1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试产批次的直通率、返修率、单柜工时</w:t>
            </w:r>
          </w:p>
        </w:tc>
        <w:tc>
          <w:tcPr>
            <w:tcW w:w="365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18A5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产线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MES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导出</w:t>
            </w:r>
          </w:p>
        </w:tc>
      </w:tr>
      <w:tr w:rsidR="006C1AF3" w14:paraId="6F1B5D2C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D04F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变更与追溯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5201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BOM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版本、固件矩阵、关键件批次对应关系</w:t>
            </w:r>
          </w:p>
        </w:tc>
        <w:tc>
          <w:tcPr>
            <w:tcW w:w="365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C3B4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可追溯到序列号的映射表</w:t>
            </w:r>
          </w:p>
        </w:tc>
      </w:tr>
      <w:tr w:rsidR="006C1AF3" w14:paraId="15070349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2525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未闭环风险</w:t>
            </w:r>
          </w:p>
        </w:tc>
        <w:tc>
          <w:tcPr>
            <w:tcW w:w="2824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E19C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已知问题清单、影响范围、缓解措施与关闭计划</w:t>
            </w:r>
          </w:p>
        </w:tc>
        <w:tc>
          <w:tcPr>
            <w:tcW w:w="3655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04514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风险登记册</w:t>
            </w:r>
          </w:p>
        </w:tc>
      </w:tr>
    </w:tbl>
    <w:p w14:paraId="4915B41A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表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9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可制造性证据卡的字段设计</w:t>
      </w:r>
    </w:p>
    <w:p w14:paraId="60AB2634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7.2 </w:t>
      </w:r>
      <w:r>
        <w:rPr>
          <w:rFonts w:ascii="微软雅黑" w:eastAsia="微软雅黑" w:hAnsi="微软雅黑" w:cs="微软雅黑" w:hint="eastAsia"/>
          <w:color w:val="1F4E79"/>
        </w:rPr>
        <w:t>供应商可制造性十问</w:t>
      </w:r>
    </w:p>
    <w:p w14:paraId="20E59426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原报告第</w:t>
      </w:r>
      <w:r>
        <w:rPr>
          <w:rFonts w:ascii="微软雅黑" w:eastAsia="微软雅黑" w:hAnsi="微软雅黑" w:cs="微软雅黑" w:hint="eastAsia"/>
          <w:color w:val="1A2733"/>
        </w:rPr>
        <w:t xml:space="preserve"> 7.3 </w:t>
      </w:r>
      <w:r>
        <w:rPr>
          <w:rFonts w:ascii="微软雅黑" w:eastAsia="微软雅黑" w:hAnsi="微软雅黑" w:cs="微软雅黑" w:hint="eastAsia"/>
          <w:color w:val="1A2733"/>
        </w:rPr>
        <w:t>节给出了面向供应商的十个问题。针对可制造性，建议补充以下专版问题，用于供应商技术问卷与现场审核：</w:t>
      </w:r>
    </w:p>
    <w:p w14:paraId="227147EE" w14:textId="77777777" w:rsidR="006C1AF3" w:rsidRDefault="004B2385">
      <w:pPr>
        <w:numPr>
          <w:ilvl w:val="0"/>
          <w:numId w:val="3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你们的</w:t>
      </w:r>
      <w:r>
        <w:rPr>
          <w:rFonts w:ascii="微软雅黑" w:eastAsia="微软雅黑" w:hAnsi="微软雅黑" w:cs="微软雅黑" w:hint="eastAsia"/>
          <w:color w:val="1A2733"/>
        </w:rPr>
        <w:t xml:space="preserve"> L10 / L11 / L12 </w:t>
      </w:r>
      <w:r>
        <w:rPr>
          <w:rFonts w:ascii="微软雅黑" w:eastAsia="微软雅黑" w:hAnsi="微软雅黑" w:cs="微软雅黑" w:hint="eastAsia"/>
          <w:color w:val="1A2733"/>
        </w:rPr>
        <w:t>分别在哪个工厂、哪条产线执行？各自的节拍与产能是多少？</w:t>
      </w:r>
    </w:p>
    <w:p w14:paraId="6EE12BEE" w14:textId="77777777" w:rsidR="006C1AF3" w:rsidRDefault="004B2385">
      <w:pPr>
        <w:numPr>
          <w:ilvl w:val="0"/>
          <w:numId w:val="3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 xml:space="preserve">L11 </w:t>
      </w:r>
      <w:r>
        <w:rPr>
          <w:rFonts w:ascii="微软雅黑" w:eastAsia="微软雅黑" w:hAnsi="微软雅黑" w:cs="微软雅黑" w:hint="eastAsia"/>
          <w:color w:val="1A2733"/>
        </w:rPr>
        <w:t>的整柜报告包含哪些数据？是否可以按机柜、托盘、器件三级序列号追溯？</w:t>
      </w:r>
    </w:p>
    <w:p w14:paraId="4F5F4BB0" w14:textId="77777777" w:rsidR="006C1AF3" w:rsidRDefault="004B2385">
      <w:pPr>
        <w:numPr>
          <w:ilvl w:val="0"/>
          <w:numId w:val="3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线缆卡匣的就位状态如何量化记录？是人工目检、互锁信号，还是两者都有？</w:t>
      </w:r>
    </w:p>
    <w:p w14:paraId="15E76D17" w14:textId="77777777" w:rsidR="006C1AF3" w:rsidRDefault="004B2385">
      <w:pPr>
        <w:numPr>
          <w:ilvl w:val="0"/>
          <w:numId w:val="3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是否提供</w:t>
      </w:r>
      <w:r>
        <w:rPr>
          <w:rFonts w:ascii="微软雅黑" w:eastAsia="微软雅黑" w:hAnsi="微软雅黑" w:cs="微软雅黑" w:hint="eastAsia"/>
          <w:color w:val="1A2733"/>
        </w:rPr>
        <w:t xml:space="preserve"> TDR </w:t>
      </w:r>
      <w:r>
        <w:rPr>
          <w:rFonts w:ascii="微软雅黑" w:eastAsia="微软雅黑" w:hAnsi="微软雅黑" w:cs="微软雅黑" w:hint="eastAsia"/>
          <w:color w:val="1A2733"/>
        </w:rPr>
        <w:t>原始曲线？抽检比例是多少？批次内分布尾部如何处理？</w:t>
      </w:r>
    </w:p>
    <w:p w14:paraId="6A50D023" w14:textId="77777777" w:rsidR="006C1AF3" w:rsidRDefault="004B2385">
      <w:pPr>
        <w:numPr>
          <w:ilvl w:val="0"/>
          <w:numId w:val="3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液路保压的判据是什么？是否做温度补偿？微漏的检出下限是多少？</w:t>
      </w:r>
    </w:p>
    <w:p w14:paraId="394DC52D" w14:textId="77777777" w:rsidR="006C1AF3" w:rsidRDefault="004B2385">
      <w:pPr>
        <w:numPr>
          <w:ilvl w:val="0"/>
          <w:numId w:val="3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是否做过整柜运输与存储试验？谱型、载荷与判据是什么？</w:t>
      </w:r>
    </w:p>
    <w:p w14:paraId="77922FDA" w14:textId="77777777" w:rsidR="006C1AF3" w:rsidRDefault="004B2385">
      <w:pPr>
        <w:numPr>
          <w:ilvl w:val="0"/>
          <w:numId w:val="3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液路的健康基线是否随货交付？现场如何判断流量衰减是正常还是异常？</w:t>
      </w:r>
    </w:p>
    <w:p w14:paraId="3E42BC9A" w14:textId="77777777" w:rsidR="006C1AF3" w:rsidRDefault="004B2385">
      <w:pPr>
        <w:numPr>
          <w:ilvl w:val="0"/>
          <w:numId w:val="3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故障注入清单覆盖哪些失效模式？最近一次验证「能检出」是什么时候？</w:t>
      </w:r>
    </w:p>
    <w:p w14:paraId="214A23E8" w14:textId="77777777" w:rsidR="006C1AF3" w:rsidRDefault="004B2385">
      <w:pPr>
        <w:numPr>
          <w:ilvl w:val="0"/>
          <w:numId w:val="3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lastRenderedPageBreak/>
        <w:t>试产批次的直通率、返修率与主要失效</w:t>
      </w:r>
      <w:r>
        <w:rPr>
          <w:rFonts w:ascii="微软雅黑" w:eastAsia="微软雅黑" w:hAnsi="微软雅黑" w:cs="微软雅黑" w:hint="eastAsia"/>
          <w:color w:val="1A2733"/>
        </w:rPr>
        <w:t xml:space="preserve"> Top5 </w:t>
      </w:r>
      <w:r>
        <w:rPr>
          <w:rFonts w:ascii="微软雅黑" w:eastAsia="微软雅黑" w:hAnsi="微软雅黑" w:cs="微软雅黑" w:hint="eastAsia"/>
          <w:color w:val="1A2733"/>
        </w:rPr>
        <w:t>是什么？</w:t>
      </w:r>
    </w:p>
    <w:p w14:paraId="34504B75" w14:textId="77777777" w:rsidR="006C1AF3" w:rsidRDefault="004B2385">
      <w:pPr>
        <w:numPr>
          <w:ilvl w:val="0"/>
          <w:numId w:val="3"/>
        </w:numPr>
        <w:pBdr>
          <w:left w:val="none" w:sz="0" w:space="18" w:color="auto"/>
        </w:pBdr>
        <w:spacing w:after="80" w:line="388" w:lineRule="auto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变更通知机制如何运转？哪些部件的规格仍可能变化？</w:t>
      </w:r>
    </w:p>
    <w:p w14:paraId="076B889F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7.3 </w:t>
      </w:r>
      <w:r>
        <w:rPr>
          <w:rFonts w:ascii="微软雅黑" w:eastAsia="微软雅黑" w:hAnsi="微软雅黑" w:cs="微软雅黑" w:hint="eastAsia"/>
          <w:color w:val="1F4E79"/>
        </w:rPr>
        <w:t>量产就绪度评分卡</w:t>
      </w:r>
      <w:r>
        <w:rPr>
          <w:rFonts w:ascii="微软雅黑" w:eastAsia="微软雅黑" w:hAnsi="微软雅黑" w:cs="微软雅黑" w:hint="eastAsia"/>
          <w:color w:val="1F4E79"/>
        </w:rPr>
        <w:t xml:space="preserve"> MRS</w:t>
      </w:r>
    </w:p>
    <w:p w14:paraId="4364E951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把上述要素合成为一个可比较的评分卡，用于跨型号、跨供应商的横向比较。建议八个维度、两级门槛（单项门槛</w:t>
      </w:r>
      <w:r>
        <w:rPr>
          <w:rFonts w:ascii="微软雅黑" w:eastAsia="微软雅黑" w:hAnsi="微软雅黑" w:cs="微软雅黑" w:hint="eastAsia"/>
          <w:color w:val="1A2733"/>
        </w:rPr>
        <w:t xml:space="preserve"> 70</w:t>
      </w:r>
      <w:r>
        <w:rPr>
          <w:rFonts w:ascii="微软雅黑" w:eastAsia="微软雅黑" w:hAnsi="微软雅黑" w:cs="微软雅黑" w:hint="eastAsia"/>
          <w:color w:val="1A2733"/>
        </w:rPr>
        <w:t>，红线维度</w:t>
      </w:r>
      <w:r>
        <w:rPr>
          <w:rFonts w:ascii="微软雅黑" w:eastAsia="微软雅黑" w:hAnsi="微软雅黑" w:cs="微软雅黑" w:hint="eastAsia"/>
          <w:color w:val="1A2733"/>
        </w:rPr>
        <w:t xml:space="preserve"> 50 </w:t>
      </w:r>
      <w:r>
        <w:rPr>
          <w:rFonts w:ascii="微软雅黑" w:eastAsia="微软雅黑" w:hAnsi="微软雅黑" w:cs="微软雅黑" w:hint="eastAsia"/>
          <w:color w:val="1A2733"/>
        </w:rPr>
        <w:t>分一票否决）。</w:t>
      </w:r>
    </w:p>
    <w:p w14:paraId="1157B30D" w14:textId="77777777" w:rsidR="006C1AF3" w:rsidRDefault="004B2385">
      <w:pPr>
        <w:spacing w:before="240" w:after="240" w:line="388" w:lineRule="auto"/>
        <w:ind w:left="240" w:right="240"/>
        <w:jc w:val="center"/>
        <w:rPr>
          <w:color w:val="1A2733"/>
        </w:rPr>
      </w:pPr>
      <w:r>
        <w:rPr>
          <w:noProof/>
        </w:rPr>
        <w:drawing>
          <wp:inline distT="0" distB="0" distL="0" distR="0" wp14:anchorId="1CFADD9C" wp14:editId="5F145BF2">
            <wp:extent cx="5274310" cy="296679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BF67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图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9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量产就绪度评分卡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MRS </w:t>
      </w:r>
      <w:r>
        <w:rPr>
          <w:rFonts w:ascii="微软雅黑" w:eastAsia="微软雅黑" w:hAnsi="微软雅黑" w:cs="微软雅黑" w:hint="eastAsia"/>
          <w:color w:val="5C6B7A"/>
          <w:sz w:val="18"/>
        </w:rPr>
        <w:t>的结构与示例打分（分数为示例，非实测）</w:t>
      </w:r>
    </w:p>
    <w:p w14:paraId="08C7CFC7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评分卡的价值在于两点。第一，它把「可制造性」从定性判断变成可比较的数字，使跨项目资源分配有据可依。第二，红线机制防止「平均分掩盖结构性缺陷」——一个测试覆盖</w:t>
      </w:r>
      <w:r>
        <w:rPr>
          <w:rFonts w:ascii="微软雅黑" w:eastAsia="微软雅黑" w:hAnsi="微软雅黑" w:cs="微软雅黑" w:hint="eastAsia"/>
          <w:color w:val="1A2733"/>
        </w:rPr>
        <w:t xml:space="preserve"> 30 </w:t>
      </w:r>
      <w:r>
        <w:rPr>
          <w:rFonts w:ascii="微软雅黑" w:eastAsia="微软雅黑" w:hAnsi="微软雅黑" w:cs="微软雅黑" w:hint="eastAsia"/>
          <w:color w:val="1A2733"/>
        </w:rPr>
        <w:t>分、其余全</w:t>
      </w:r>
      <w:r>
        <w:rPr>
          <w:rFonts w:ascii="微软雅黑" w:eastAsia="微软雅黑" w:hAnsi="微软雅黑" w:cs="微软雅黑" w:hint="eastAsia"/>
          <w:color w:val="1A2733"/>
        </w:rPr>
        <w:t xml:space="preserve"> 90 </w:t>
      </w:r>
      <w:r>
        <w:rPr>
          <w:rFonts w:ascii="微软雅黑" w:eastAsia="微软雅黑" w:hAnsi="微软雅黑" w:cs="微软雅黑" w:hint="eastAsia"/>
          <w:color w:val="1A2733"/>
        </w:rPr>
        <w:t>分的项目，加权后可能仍有</w:t>
      </w:r>
      <w:r>
        <w:rPr>
          <w:rFonts w:ascii="微软雅黑" w:eastAsia="微软雅黑" w:hAnsi="微软雅黑" w:cs="微软雅黑" w:hint="eastAsia"/>
          <w:color w:val="1A2733"/>
        </w:rPr>
        <w:t xml:space="preserve"> 70 </w:t>
      </w:r>
      <w:r>
        <w:rPr>
          <w:rFonts w:ascii="微软雅黑" w:eastAsia="微软雅黑" w:hAnsi="微软雅黑" w:cs="微软雅黑" w:hint="eastAsia"/>
          <w:color w:val="1A2733"/>
        </w:rPr>
        <w:t>分，但它显然不具备量产条件。</w:t>
      </w:r>
    </w:p>
    <w:p w14:paraId="747AB46C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7.4 </w:t>
      </w:r>
      <w:r>
        <w:rPr>
          <w:rFonts w:ascii="微软雅黑" w:eastAsia="微软雅黑" w:hAnsi="微软雅黑" w:cs="微软雅黑" w:hint="eastAsia"/>
          <w:color w:val="1F4E79"/>
        </w:rPr>
        <w:t>与原报告</w:t>
      </w:r>
      <w:r>
        <w:rPr>
          <w:rFonts w:ascii="微软雅黑" w:eastAsia="微软雅黑" w:hAnsi="微软雅黑" w:cs="微软雅黑" w:hint="eastAsia"/>
          <w:color w:val="1F4E79"/>
        </w:rPr>
        <w:t xml:space="preserve"> WP11 </w:t>
      </w:r>
      <w:r>
        <w:rPr>
          <w:rFonts w:ascii="微软雅黑" w:eastAsia="微软雅黑" w:hAnsi="微软雅黑" w:cs="微软雅黑" w:hint="eastAsia"/>
          <w:color w:val="1F4E79"/>
        </w:rPr>
        <w:t>工作包的对接</w:t>
      </w:r>
    </w:p>
    <w:p w14:paraId="226876BE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原报告第</w:t>
      </w:r>
      <w:r>
        <w:rPr>
          <w:rFonts w:ascii="微软雅黑" w:eastAsia="微软雅黑" w:hAnsi="微软雅黑" w:cs="微软雅黑" w:hint="eastAsia"/>
          <w:color w:val="1A2733"/>
        </w:rPr>
        <w:t xml:space="preserve"> 7 </w:t>
      </w:r>
      <w:r>
        <w:rPr>
          <w:rFonts w:ascii="微软雅黑" w:eastAsia="微软雅黑" w:hAnsi="微软雅黑" w:cs="微软雅黑" w:hint="eastAsia"/>
          <w:color w:val="1A2733"/>
        </w:rPr>
        <w:t>章已列出</w:t>
      </w:r>
      <w:r>
        <w:rPr>
          <w:rFonts w:ascii="微软雅黑" w:eastAsia="微软雅黑" w:hAnsi="微软雅黑" w:cs="微软雅黑" w:hint="eastAsia"/>
          <w:color w:val="1A2733"/>
        </w:rPr>
        <w:t xml:space="preserve"> WP11</w:t>
      </w:r>
      <w:r>
        <w:rPr>
          <w:rFonts w:ascii="微软雅黑" w:eastAsia="微软雅黑" w:hAnsi="微软雅黑" w:cs="微软雅黑" w:hint="eastAsia"/>
          <w:color w:val="1A2733"/>
        </w:rPr>
        <w:t>「</w:t>
      </w:r>
      <w:r>
        <w:rPr>
          <w:rFonts w:ascii="微软雅黑" w:eastAsia="微软雅黑" w:hAnsi="微软雅黑" w:cs="微软雅黑" w:hint="eastAsia"/>
          <w:color w:val="1A2733"/>
        </w:rPr>
        <w:t xml:space="preserve">L10 </w:t>
      </w:r>
      <w:r>
        <w:rPr>
          <w:rFonts w:ascii="微软雅黑" w:eastAsia="微软雅黑" w:hAnsi="微软雅黑" w:cs="微软雅黑" w:hint="eastAsia"/>
          <w:color w:val="1A2733"/>
        </w:rPr>
        <w:t>至</w:t>
      </w:r>
      <w:r>
        <w:rPr>
          <w:rFonts w:ascii="微软雅黑" w:eastAsia="微软雅黑" w:hAnsi="微软雅黑" w:cs="微软雅黑" w:hint="eastAsia"/>
          <w:color w:val="1A2733"/>
        </w:rPr>
        <w:t xml:space="preserve"> L12 </w:t>
      </w:r>
      <w:r>
        <w:rPr>
          <w:rFonts w:ascii="微软雅黑" w:eastAsia="微软雅黑" w:hAnsi="微软雅黑" w:cs="微软雅黑" w:hint="eastAsia"/>
          <w:color w:val="1A2733"/>
        </w:rPr>
        <w:t>测试设计」工作包（</w:t>
      </w:r>
      <w:r>
        <w:rPr>
          <w:rFonts w:ascii="微软雅黑" w:eastAsia="微软雅黑" w:hAnsi="微软雅黑" w:cs="微软雅黑" w:hint="eastAsia"/>
          <w:color w:val="1A2733"/>
        </w:rPr>
        <w:t xml:space="preserve">P1 </w:t>
      </w:r>
      <w:r>
        <w:rPr>
          <w:rFonts w:ascii="微软雅黑" w:eastAsia="微软雅黑" w:hAnsi="微软雅黑" w:cs="微软雅黑" w:hint="eastAsia"/>
          <w:color w:val="1A2733"/>
        </w:rPr>
        <w:t>级，</w:t>
      </w:r>
      <w:r>
        <w:rPr>
          <w:rFonts w:ascii="微软雅黑" w:eastAsia="微软雅黑" w:hAnsi="微软雅黑" w:cs="微软雅黑" w:hint="eastAsia"/>
          <w:color w:val="1A2733"/>
        </w:rPr>
        <w:t xml:space="preserve">180 </w:t>
      </w:r>
      <w:r>
        <w:rPr>
          <w:rFonts w:ascii="微软雅黑" w:eastAsia="微软雅黑" w:hAnsi="微软雅黑" w:cs="微软雅黑" w:hint="eastAsia"/>
          <w:color w:val="1A2733"/>
        </w:rPr>
        <w:t>天，验收输出为「测试覆盖和逃逸风险模型」）。本文的分析可以直接细化该工作包的内部结构：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322"/>
        <w:gridCol w:w="3988"/>
      </w:tblGrid>
      <w:tr w:rsidR="006C1AF3" w14:paraId="066486D0" w14:textId="77777777">
        <w:trPr>
          <w:cantSplit/>
          <w:tblHeader/>
        </w:trPr>
        <w:tc>
          <w:tcPr>
            <w:tcW w:w="99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A012E5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阶段</w:t>
            </w:r>
          </w:p>
        </w:tc>
        <w:tc>
          <w:tcPr>
            <w:tcW w:w="332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0193B0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交付物</w:t>
            </w:r>
          </w:p>
        </w:tc>
        <w:tc>
          <w:tcPr>
            <w:tcW w:w="398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8B9F22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验收判据</w:t>
            </w:r>
          </w:p>
        </w:tc>
      </w:tr>
      <w:tr w:rsidR="006C1AF3" w14:paraId="2D2A314B" w14:textId="77777777">
        <w:trPr>
          <w:cantSplit/>
        </w:trPr>
        <w:tc>
          <w:tcPr>
            <w:tcW w:w="996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49A86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lastRenderedPageBreak/>
              <w:t>0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–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30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天</w:t>
            </w:r>
          </w:p>
        </w:tc>
        <w:tc>
          <w:tcPr>
            <w:tcW w:w="332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8F307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四层覆盖率模型定稿；测试矩阵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v1.0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；缺陷样本库方案</w:t>
            </w:r>
          </w:p>
        </w:tc>
        <w:tc>
          <w:tcPr>
            <w:tcW w:w="398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0200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分母定义经架构与质量双签；每层均有分子计算规则</w:t>
            </w:r>
          </w:p>
        </w:tc>
      </w:tr>
      <w:tr w:rsidR="006C1AF3" w14:paraId="70AB6B62" w14:textId="77777777">
        <w:trPr>
          <w:cantSplit/>
        </w:trPr>
        <w:tc>
          <w:tcPr>
            <w:tcW w:w="996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1E84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31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–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90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天</w:t>
            </w:r>
          </w:p>
        </w:tc>
        <w:tc>
          <w:tcPr>
            <w:tcW w:w="332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8EA6C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L10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测试脚本与判据；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L11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五域测试方案；线缆五级验证方案</w:t>
            </w:r>
          </w:p>
        </w:tc>
        <w:tc>
          <w:tcPr>
            <w:tcW w:w="398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60A06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每条用例均通过「注入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检出」灵敏度校验</w:t>
            </w:r>
          </w:p>
        </w:tc>
      </w:tr>
      <w:tr w:rsidR="006C1AF3" w14:paraId="76A1CAAA" w14:textId="77777777">
        <w:trPr>
          <w:cantSplit/>
        </w:trPr>
        <w:tc>
          <w:tcPr>
            <w:tcW w:w="996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37B5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91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–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150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天</w:t>
            </w:r>
          </w:p>
        </w:tc>
        <w:tc>
          <w:tcPr>
            <w:tcW w:w="332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EE835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液路全生命周期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DVP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；运输与存储试验方案；加速试验外推假设</w:t>
            </w:r>
          </w:p>
        </w:tc>
        <w:tc>
          <w:tcPr>
            <w:tcW w:w="398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F16F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外推假设先行签署；试验谱型与判据明确</w:t>
            </w:r>
          </w:p>
        </w:tc>
      </w:tr>
      <w:tr w:rsidR="006C1AF3" w14:paraId="2A624340" w14:textId="77777777">
        <w:trPr>
          <w:cantSplit/>
        </w:trPr>
        <w:tc>
          <w:tcPr>
            <w:tcW w:w="996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8C50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151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–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180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天</w:t>
            </w:r>
          </w:p>
        </w:tc>
        <w:tc>
          <w:tcPr>
            <w:tcW w:w="3322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BA5A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逃逸风险模型；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MRS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评分卡首轮试评；证据卡模板与归档机制</w:t>
            </w:r>
          </w:p>
        </w:tc>
        <w:tc>
          <w:tcPr>
            <w:tcW w:w="3988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02C5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完成一次跨域故障注入演练并输出报告</w:t>
            </w:r>
          </w:p>
        </w:tc>
      </w:tr>
    </w:tbl>
    <w:p w14:paraId="16BABDD4" w14:textId="77777777" w:rsidR="006C1AF3" w:rsidRDefault="004B2385">
      <w:pPr>
        <w:spacing w:before="80" w:after="80" w:line="388" w:lineRule="auto"/>
        <w:ind w:left="80" w:right="80"/>
        <w:jc w:val="center"/>
        <w:rPr>
          <w:color w:val="5C6B7A"/>
        </w:rPr>
      </w:pPr>
      <w:r>
        <w:rPr>
          <w:rFonts w:ascii="微软雅黑" w:eastAsia="微软雅黑" w:hAnsi="微软雅黑" w:cs="微软雅黑" w:hint="eastAsia"/>
          <w:color w:val="5C6B7A"/>
          <w:sz w:val="18"/>
        </w:rPr>
        <w:t>表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10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　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WP11 </w:t>
      </w:r>
      <w:r>
        <w:rPr>
          <w:rFonts w:ascii="微软雅黑" w:eastAsia="微软雅黑" w:hAnsi="微软雅黑" w:cs="微软雅黑" w:hint="eastAsia"/>
          <w:color w:val="5C6B7A"/>
          <w:sz w:val="18"/>
        </w:rPr>
        <w:t>工作包的</w:t>
      </w:r>
      <w:r>
        <w:rPr>
          <w:rFonts w:ascii="微软雅黑" w:eastAsia="微软雅黑" w:hAnsi="微软雅黑" w:cs="微软雅黑" w:hint="eastAsia"/>
          <w:color w:val="5C6B7A"/>
          <w:sz w:val="18"/>
        </w:rPr>
        <w:t xml:space="preserve"> 180 </w:t>
      </w:r>
      <w:r>
        <w:rPr>
          <w:rFonts w:ascii="微软雅黑" w:eastAsia="微软雅黑" w:hAnsi="微软雅黑" w:cs="微软雅黑" w:hint="eastAsia"/>
          <w:color w:val="5C6B7A"/>
          <w:sz w:val="18"/>
        </w:rPr>
        <w:t>天细化</w:t>
      </w:r>
    </w:p>
    <w:p w14:paraId="15111DBF" w14:textId="77777777" w:rsidR="006C1AF3" w:rsidRDefault="004B2385">
      <w:pPr>
        <w:pStyle w:val="Heading3"/>
        <w:spacing w:before="260" w:beforeAutospacing="1" w:after="260" w:afterAutospacing="1" w:line="388" w:lineRule="auto"/>
        <w:ind w:left="260" w:right="2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</w:rPr>
        <w:t xml:space="preserve">7.5 </w:t>
      </w:r>
      <w:r>
        <w:rPr>
          <w:rFonts w:ascii="微软雅黑" w:eastAsia="微软雅黑" w:hAnsi="微软雅黑" w:cs="微软雅黑" w:hint="eastAsia"/>
          <w:color w:val="1F4E79"/>
        </w:rPr>
        <w:t>治理机制：谁签字、证据存哪、如何审计</w:t>
      </w:r>
    </w:p>
    <w:p w14:paraId="4CAEF6E9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可制造性治理失效，多数不是因为技术判断错误，而是因为证据没有归属。建议明确三件事：</w:t>
      </w:r>
    </w:p>
    <w:p w14:paraId="6F433045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签字权。</w:t>
      </w:r>
      <w:r>
        <w:rPr>
          <w:rFonts w:ascii="微软雅黑" w:eastAsia="微软雅黑" w:hAnsi="微软雅黑" w:cs="微软雅黑" w:hint="eastAsia"/>
          <w:color w:val="1A2733"/>
        </w:rPr>
        <w:t xml:space="preserve">G4 </w:t>
      </w:r>
      <w:r>
        <w:rPr>
          <w:rFonts w:ascii="微软雅黑" w:eastAsia="微软雅黑" w:hAnsi="微软雅黑" w:cs="微软雅黑" w:hint="eastAsia"/>
          <w:color w:val="1A2733"/>
        </w:rPr>
        <w:t>量产承诺应由三个角色联合签署：研发负责人（对设计裕量负责）、制造测试负责人（对覆盖率与逃逸率负责）、质量负责人（对供应商证据负责）。任何一方缺席，承诺不成立。</w:t>
      </w:r>
    </w:p>
    <w:p w14:paraId="7F9FA8EB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证据归属。</w:t>
      </w:r>
      <w:r>
        <w:rPr>
          <w:rFonts w:ascii="微软雅黑" w:eastAsia="微软雅黑" w:hAnsi="微软雅黑" w:cs="微软雅黑" w:hint="eastAsia"/>
          <w:color w:val="1A2733"/>
        </w:rPr>
        <w:t>所有原始数据（</w:t>
      </w:r>
      <w:r>
        <w:rPr>
          <w:rFonts w:ascii="微软雅黑" w:eastAsia="微软雅黑" w:hAnsi="微软雅黑" w:cs="微软雅黑" w:hint="eastAsia"/>
          <w:color w:val="1A2733"/>
        </w:rPr>
        <w:t xml:space="preserve">TDR </w:t>
      </w:r>
      <w:r>
        <w:rPr>
          <w:rFonts w:ascii="微软雅黑" w:eastAsia="微软雅黑" w:hAnsi="微软雅黑" w:cs="微软雅黑" w:hint="eastAsia"/>
          <w:color w:val="1A2733"/>
        </w:rPr>
        <w:t>曲线、保压曲线、</w:t>
      </w:r>
      <w:r>
        <w:rPr>
          <w:rFonts w:ascii="微软雅黑" w:eastAsia="微软雅黑" w:hAnsi="微软雅黑" w:cs="微软雅黑" w:hint="eastAsia"/>
          <w:color w:val="1A2733"/>
        </w:rPr>
        <w:t xml:space="preserve">NCCL </w:t>
      </w:r>
      <w:r>
        <w:rPr>
          <w:rFonts w:ascii="微软雅黑" w:eastAsia="微软雅黑" w:hAnsi="微软雅黑" w:cs="微软雅黑" w:hint="eastAsia"/>
          <w:color w:val="1A2733"/>
        </w:rPr>
        <w:t>日志、故障注入日志、</w:t>
      </w:r>
      <w:r>
        <w:rPr>
          <w:rFonts w:ascii="微软雅黑" w:eastAsia="微软雅黑" w:hAnsi="微软雅黑" w:cs="微软雅黑" w:hint="eastAsia"/>
          <w:color w:val="1A2733"/>
        </w:rPr>
        <w:t xml:space="preserve">MES </w:t>
      </w:r>
      <w:r>
        <w:rPr>
          <w:rFonts w:ascii="微软雅黑" w:eastAsia="微软雅黑" w:hAnsi="微软雅黑" w:cs="微软雅黑" w:hint="eastAsia"/>
          <w:color w:val="1A2733"/>
        </w:rPr>
        <w:t>导出）应存放在统一的可追溯仓库，按机柜序列号索引，保留期不短于产品生命周期。报告可以重新生成，原始数据不能。</w:t>
      </w:r>
    </w:p>
    <w:p w14:paraId="2B204844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审计方式。</w:t>
      </w:r>
      <w:r>
        <w:rPr>
          <w:rFonts w:ascii="微软雅黑" w:eastAsia="微软雅黑" w:hAnsi="微软雅黑" w:cs="微软雅黑" w:hint="eastAsia"/>
          <w:color w:val="1A2733"/>
        </w:rPr>
        <w:t>每季度做一次抽样审计：随机抽取已交付机柜，回溯其证据包完整性，并核对现场故障记录中是否存在「本应被</w:t>
      </w:r>
      <w:r>
        <w:rPr>
          <w:rFonts w:ascii="微软雅黑" w:eastAsia="微软雅黑" w:hAnsi="微软雅黑" w:cs="微软雅黑" w:hint="eastAsia"/>
          <w:color w:val="1A2733"/>
        </w:rPr>
        <w:t xml:space="preserve"> L10/L11 </w:t>
      </w:r>
      <w:r>
        <w:rPr>
          <w:rFonts w:ascii="微软雅黑" w:eastAsia="微软雅黑" w:hAnsi="微软雅黑" w:cs="微软雅黑" w:hint="eastAsia"/>
          <w:color w:val="1A2733"/>
        </w:rPr>
        <w:t>拦截」的条目。后者即逃逸率，是最有效的体系健康度指标。</w:t>
      </w:r>
    </w:p>
    <w:p w14:paraId="10812D27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t>八、结论与三项立即动作</w:t>
      </w:r>
    </w:p>
    <w:p w14:paraId="46ADD97B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回到原文这一行十九个字。它要求的三件事，本质上是一套完整的证据体系：</w:t>
      </w:r>
      <w:r>
        <w:rPr>
          <w:rFonts w:ascii="微软雅黑" w:eastAsia="微软雅黑" w:hAnsi="微软雅黑" w:cs="微软雅黑" w:hint="eastAsia"/>
          <w:b/>
          <w:color w:val="1F4E79"/>
        </w:rPr>
        <w:t>在正确的层级取证（</w:t>
      </w:r>
      <w:r>
        <w:rPr>
          <w:rFonts w:ascii="微软雅黑" w:eastAsia="微软雅黑" w:hAnsi="微软雅黑" w:cs="微软雅黑" w:hint="eastAsia"/>
          <w:b/>
          <w:color w:val="1F4E79"/>
        </w:rPr>
        <w:t>L10</w:t>
      </w:r>
      <w:r>
        <w:rPr>
          <w:rFonts w:ascii="微软雅黑" w:eastAsia="微软雅黑" w:hAnsi="微软雅黑" w:cs="微软雅黑" w:hint="eastAsia"/>
          <w:b/>
          <w:color w:val="1F4E79"/>
        </w:rPr>
        <w:t>–</w:t>
      </w:r>
      <w:r>
        <w:rPr>
          <w:rFonts w:ascii="微软雅黑" w:eastAsia="微软雅黑" w:hAnsi="微软雅黑" w:cs="微软雅黑" w:hint="eastAsia"/>
          <w:b/>
          <w:color w:val="1F4E79"/>
        </w:rPr>
        <w:t>L12</w:t>
      </w:r>
      <w:r>
        <w:rPr>
          <w:rFonts w:ascii="微软雅黑" w:eastAsia="微软雅黑" w:hAnsi="微软雅黑" w:cs="微软雅黑" w:hint="eastAsia"/>
          <w:b/>
          <w:color w:val="1F4E79"/>
        </w:rPr>
        <w:t>）、用可度量的方式证明完备（覆盖率）、对两个最高风险的物理面做专项验证（线缆与液路）</w:t>
      </w:r>
      <w:r>
        <w:rPr>
          <w:rFonts w:ascii="微软雅黑" w:eastAsia="微软雅黑" w:hAnsi="微软雅黑" w:cs="微软雅黑" w:hint="eastAsia"/>
          <w:color w:val="1A2733"/>
        </w:rPr>
        <w:t>。它否定的那件事，则是一句在评审会上极具说服力、在工程上完全无效的主张。</w:t>
      </w:r>
    </w:p>
    <w:p w14:paraId="167D12E3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对研发管理层，建议立即启动三项动作：</w:t>
      </w:r>
    </w:p>
    <w:p w14:paraId="574A41B7" w14:textId="77777777" w:rsidR="006C1AF3" w:rsidRDefault="004B2385">
      <w:pPr>
        <w:pBdr>
          <w:left w:val="single" w:sz="24" w:space="0" w:color="1F4E79"/>
        </w:pBdr>
        <w:shd w:val="clear" w:color="auto" w:fill="F4F7FA"/>
        <w:spacing w:before="200" w:after="200" w:line="388" w:lineRule="auto"/>
        <w:ind w:left="200" w:right="200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动作一（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30 </w:t>
      </w:r>
      <w:r>
        <w:rPr>
          <w:rFonts w:ascii="微软雅黑" w:eastAsia="微软雅黑" w:hAnsi="微软雅黑" w:cs="微软雅黑" w:hint="eastAsia"/>
          <w:b/>
          <w:color w:val="1F4E79"/>
        </w:rPr>
        <w:t>天内）：把「覆盖率」从一个数字拆成四层。</w:t>
      </w:r>
      <w:r>
        <w:rPr>
          <w:rFonts w:ascii="微软雅黑" w:eastAsia="微软雅黑" w:hAnsi="微软雅黑" w:cs="微软雅黑" w:hint="eastAsia"/>
          <w:color w:val="1A2733"/>
        </w:rPr>
        <w:t>由质量与测试团队联合定稿四层覆盖率的分</w:t>
      </w:r>
      <w:r>
        <w:rPr>
          <w:rFonts w:ascii="微软雅黑" w:eastAsia="微软雅黑" w:hAnsi="微软雅黑" w:cs="微软雅黑" w:hint="eastAsia"/>
          <w:color w:val="1A2733"/>
        </w:rPr>
        <w:lastRenderedPageBreak/>
        <w:t>子分母定义，冻结分母版本，建立缺陷样本库。在此之前，任何覆盖率数字都不得进入评审结论。</w:t>
      </w:r>
    </w:p>
    <w:p w14:paraId="56C7EC9C" w14:textId="77777777" w:rsidR="006C1AF3" w:rsidRDefault="004B2385">
      <w:pPr>
        <w:pBdr>
          <w:left w:val="single" w:sz="24" w:space="0" w:color="1F4E79"/>
        </w:pBdr>
        <w:shd w:val="clear" w:color="auto" w:fill="F4F7FA"/>
        <w:spacing w:before="200" w:after="200" w:line="388" w:lineRule="auto"/>
        <w:ind w:left="200" w:right="200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动作二（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60 </w:t>
      </w:r>
      <w:r>
        <w:rPr>
          <w:rFonts w:ascii="微软雅黑" w:eastAsia="微软雅黑" w:hAnsi="微软雅黑" w:cs="微软雅黑" w:hint="eastAsia"/>
          <w:b/>
          <w:color w:val="1F4E79"/>
        </w:rPr>
        <w:t>天内）：建立线缆与液路的专项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 DVP</w:t>
      </w:r>
      <w:r>
        <w:rPr>
          <w:rFonts w:ascii="微软雅黑" w:eastAsia="微软雅黑" w:hAnsi="微软雅黑" w:cs="微软雅黑" w:hint="eastAsia"/>
          <w:b/>
          <w:color w:val="1F4E79"/>
        </w:rPr>
        <w:t>。</w:t>
      </w:r>
      <w:r>
        <w:rPr>
          <w:rFonts w:ascii="微软雅黑" w:eastAsia="微软雅黑" w:hAnsi="微软雅黑" w:cs="微软雅黑" w:hint="eastAsia"/>
          <w:color w:val="1A2733"/>
        </w:rPr>
        <w:t>线缆按五个层级（来料、组件、装配、系统、寿命）补齐缺口，重点补「装配态」与「寿命态」；液路按六个阶段（材料、出厂、运输、仓储、灌注、运行）建立判据，重点补「运输」与「运行」两个阶段，并交付健康基线。</w:t>
      </w:r>
    </w:p>
    <w:p w14:paraId="4ECD026D" w14:textId="77777777" w:rsidR="006C1AF3" w:rsidRDefault="004B2385">
      <w:pPr>
        <w:pBdr>
          <w:left w:val="single" w:sz="24" w:space="0" w:color="1F4E79"/>
        </w:pBdr>
        <w:shd w:val="clear" w:color="auto" w:fill="F4F7FA"/>
        <w:spacing w:before="200" w:after="200" w:line="388" w:lineRule="auto"/>
        <w:ind w:left="200" w:right="200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>动作三（</w:t>
      </w:r>
      <w:r>
        <w:rPr>
          <w:rFonts w:ascii="微软雅黑" w:eastAsia="微软雅黑" w:hAnsi="微软雅黑" w:cs="微软雅黑" w:hint="eastAsia"/>
          <w:b/>
          <w:color w:val="1F4E79"/>
        </w:rPr>
        <w:t xml:space="preserve">90 </w:t>
      </w:r>
      <w:r>
        <w:rPr>
          <w:rFonts w:ascii="微软雅黑" w:eastAsia="微软雅黑" w:hAnsi="微软雅黑" w:cs="微软雅黑" w:hint="eastAsia"/>
          <w:b/>
          <w:color w:val="1F4E79"/>
        </w:rPr>
        <w:t>天内）：把「样机可运行」从证据清单中移除。</w:t>
      </w:r>
      <w:r>
        <w:rPr>
          <w:rFonts w:ascii="微软雅黑" w:eastAsia="微软雅黑" w:hAnsi="微软雅黑" w:cs="微软雅黑" w:hint="eastAsia"/>
          <w:color w:val="1A2733"/>
        </w:rPr>
        <w:t>在</w:t>
      </w:r>
      <w:r>
        <w:rPr>
          <w:rFonts w:ascii="微软雅黑" w:eastAsia="微软雅黑" w:hAnsi="微软雅黑" w:cs="微软雅黑" w:hint="eastAsia"/>
          <w:color w:val="1A2733"/>
        </w:rPr>
        <w:t xml:space="preserve"> G4 </w:t>
      </w:r>
      <w:r>
        <w:rPr>
          <w:rFonts w:ascii="微软雅黑" w:eastAsia="微软雅黑" w:hAnsi="微软雅黑" w:cs="微软雅黑" w:hint="eastAsia"/>
          <w:color w:val="1A2733"/>
        </w:rPr>
        <w:t>门禁中明确：样机运行记录不作为可制造性证据；可制造性证据只能来自</w:t>
      </w:r>
      <w:r>
        <w:rPr>
          <w:rFonts w:ascii="微软雅黑" w:eastAsia="微软雅黑" w:hAnsi="微软雅黑" w:cs="微软雅黑" w:hint="eastAsia"/>
          <w:color w:val="1A2733"/>
        </w:rPr>
        <w:t xml:space="preserve"> L10</w:t>
      </w:r>
      <w:r>
        <w:rPr>
          <w:rFonts w:ascii="微软雅黑" w:eastAsia="微软雅黑" w:hAnsi="微软雅黑" w:cs="微软雅黑" w:hint="eastAsia"/>
          <w:color w:val="1A2733"/>
        </w:rPr>
        <w:t>–</w:t>
      </w:r>
      <w:r>
        <w:rPr>
          <w:rFonts w:ascii="微软雅黑" w:eastAsia="微软雅黑" w:hAnsi="微软雅黑" w:cs="微软雅黑" w:hint="eastAsia"/>
          <w:color w:val="1A2733"/>
        </w:rPr>
        <w:t xml:space="preserve">L12 </w:t>
      </w:r>
      <w:r>
        <w:rPr>
          <w:rFonts w:ascii="微软雅黑" w:eastAsia="微软雅黑" w:hAnsi="微软雅黑" w:cs="微软雅黑" w:hint="eastAsia"/>
          <w:color w:val="1A2733"/>
        </w:rPr>
        <w:t>的测试记录、覆盖率计算表与专项</w:t>
      </w:r>
      <w:r>
        <w:rPr>
          <w:rFonts w:ascii="微软雅黑" w:eastAsia="微软雅黑" w:hAnsi="微软雅黑" w:cs="微软雅黑" w:hint="eastAsia"/>
          <w:color w:val="1A2733"/>
        </w:rPr>
        <w:t xml:space="preserve"> DVP </w:t>
      </w:r>
      <w:r>
        <w:rPr>
          <w:rFonts w:ascii="微软雅黑" w:eastAsia="微软雅黑" w:hAnsi="微软雅黑" w:cs="微软雅黑" w:hint="eastAsia"/>
          <w:color w:val="1A2733"/>
        </w:rPr>
        <w:t>报告。同时启用</w:t>
      </w:r>
      <w:r>
        <w:rPr>
          <w:rFonts w:ascii="微软雅黑" w:eastAsia="微软雅黑" w:hAnsi="微软雅黑" w:cs="微软雅黑" w:hint="eastAsia"/>
          <w:color w:val="1A2733"/>
        </w:rPr>
        <w:t xml:space="preserve"> MRS </w:t>
      </w:r>
      <w:r>
        <w:rPr>
          <w:rFonts w:ascii="微软雅黑" w:eastAsia="微软雅黑" w:hAnsi="微软雅黑" w:cs="微软雅黑" w:hint="eastAsia"/>
          <w:color w:val="1A2733"/>
        </w:rPr>
        <w:t>评分卡做首轮试评，形成基线。</w:t>
      </w:r>
    </w:p>
    <w:p w14:paraId="29E2DCB3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color w:val="1A2733"/>
        </w:rPr>
        <w:t>最后需要说明的是，这套体系的目的不是增加评审负担，而是把判断依据从「谁说得更有信心」换成「谁能拿出可复现的数据」。在一个单柜功率从</w:t>
      </w:r>
      <w:r>
        <w:rPr>
          <w:rFonts w:ascii="微软雅黑" w:eastAsia="微软雅黑" w:hAnsi="微软雅黑" w:cs="微软雅黑" w:hint="eastAsia"/>
          <w:color w:val="1A2733"/>
        </w:rPr>
        <w:t xml:space="preserve"> 100 kW </w:t>
      </w:r>
      <w:r>
        <w:rPr>
          <w:rFonts w:ascii="微软雅黑" w:eastAsia="微软雅黑" w:hAnsi="微软雅黑" w:cs="微软雅黑" w:hint="eastAsia"/>
          <w:color w:val="1A2733"/>
        </w:rPr>
        <w:t>走向</w:t>
      </w:r>
      <w:r>
        <w:rPr>
          <w:rFonts w:ascii="微软雅黑" w:eastAsia="微软雅黑" w:hAnsi="微软雅黑" w:cs="微软雅黑" w:hint="eastAsia"/>
          <w:color w:val="1A2733"/>
        </w:rPr>
        <w:t xml:space="preserve"> 250 kW</w:t>
      </w:r>
      <w:r>
        <w:rPr>
          <w:rFonts w:ascii="微软雅黑" w:eastAsia="微软雅黑" w:hAnsi="微软雅黑" w:cs="微软雅黑" w:hint="eastAsia"/>
          <w:color w:val="1A2733"/>
        </w:rPr>
        <w:t>、连接点数量按平方增长的阶段，后者的成本远低于前者。</w:t>
      </w:r>
    </w:p>
    <w:p w14:paraId="7F399557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t>附录</w:t>
      </w:r>
      <w:r>
        <w:rPr>
          <w:rFonts w:ascii="微软雅黑" w:eastAsia="微软雅黑" w:hAnsi="微软雅黑" w:cs="微软雅黑" w:hint="eastAsia"/>
          <w:color w:val="1F4E79"/>
          <w:sz w:val="30"/>
        </w:rPr>
        <w:t xml:space="preserve"> A</w:t>
      </w:r>
      <w:r>
        <w:rPr>
          <w:rFonts w:ascii="微软雅黑" w:eastAsia="微软雅黑" w:hAnsi="微软雅黑" w:cs="微软雅黑" w:hint="eastAsia"/>
          <w:color w:val="1F4E79"/>
          <w:sz w:val="30"/>
        </w:rPr>
        <w:t xml:space="preserve">　术语表</w:t>
      </w:r>
    </w:p>
    <w:tbl>
      <w:tblPr>
        <w:tblW w:w="8306" w:type="dxa"/>
        <w:tblInd w:w="140" w:type="dxa"/>
        <w:shd w:val="clear" w:color="1A2733" w:fill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6479"/>
      </w:tblGrid>
      <w:tr w:rsidR="006C1AF3" w14:paraId="1DB4CE47" w14:textId="77777777">
        <w:trPr>
          <w:cantSplit/>
          <w:tblHeader/>
        </w:trPr>
        <w:tc>
          <w:tcPr>
            <w:tcW w:w="182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233466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术语</w:t>
            </w:r>
          </w:p>
        </w:tc>
        <w:tc>
          <w:tcPr>
            <w:tcW w:w="647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9E0864" w14:textId="77777777" w:rsidR="006C1AF3" w:rsidRDefault="004B2385">
            <w:pPr>
              <w:rPr>
                <w:b/>
                <w:bCs/>
                <w:color w:val="FFFFFF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说明</w:t>
            </w:r>
          </w:p>
        </w:tc>
      </w:tr>
      <w:tr w:rsidR="006C1AF3" w14:paraId="25CEE609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A4D7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color w:val="1A2733"/>
                <w:sz w:val="18"/>
              </w:rPr>
              <w:t>L10 / L11 / L12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B8A20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制造与集成的三个验收层级：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L10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计算托盘级、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L11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整机柜级、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L12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多机柜集群级。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L1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–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L9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为零部件与准系统制造。</w:t>
            </w:r>
          </w:p>
        </w:tc>
      </w:tr>
      <w:tr w:rsidR="006C1AF3" w14:paraId="4A07558B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BBD37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color w:val="1A2733"/>
                <w:sz w:val="18"/>
              </w:rPr>
              <w:t>DVT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6A79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Design Verification Test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，设计验证：证明设计在裕量与边界条件下达标。</w:t>
            </w:r>
          </w:p>
        </w:tc>
      </w:tr>
      <w:tr w:rsidR="006C1AF3" w14:paraId="4560B4CB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9969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color w:val="1A2733"/>
                <w:sz w:val="18"/>
              </w:rPr>
              <w:t>PVT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37B5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Production Verification Test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，生产验证：证明正式工装与产线能稳定做出合格品。</w:t>
            </w:r>
          </w:p>
        </w:tc>
      </w:tr>
      <w:tr w:rsidR="006C1AF3" w14:paraId="3018FD54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49C1A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color w:val="1A2733"/>
                <w:sz w:val="18"/>
              </w:rPr>
              <w:t>MP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5487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Mass Production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，量产：证明分布可控，具备交付承诺能力。</w:t>
            </w:r>
          </w:p>
        </w:tc>
      </w:tr>
      <w:tr w:rsidR="006C1AF3" w14:paraId="224411B7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B570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color w:val="1A2733"/>
                <w:sz w:val="18"/>
              </w:rPr>
              <w:t>WCI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6ADBE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Weighted Coverage Index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，加权覆盖指数，本文提出的四层覆盖率合成指标。</w:t>
            </w:r>
          </w:p>
        </w:tc>
      </w:tr>
      <w:tr w:rsidR="006C1AF3" w14:paraId="47E46827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85C18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color w:val="1A2733"/>
                <w:sz w:val="18"/>
              </w:rPr>
              <w:t>MRS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1CA8D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Manufacturing Readiness Score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，量产就绪度评分卡，本文提出的八维评分工具。</w:t>
            </w:r>
          </w:p>
        </w:tc>
      </w:tr>
      <w:tr w:rsidR="006C1AF3" w14:paraId="02A5EAED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C6D5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color w:val="1A2733"/>
                <w:sz w:val="18"/>
              </w:rPr>
              <w:t>busbw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BA64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Bus Bandwidth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NCCL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集合通信的总线带宽指标，反映网卡实际利用率。</w:t>
            </w:r>
          </w:p>
        </w:tc>
      </w:tr>
      <w:tr w:rsidR="006C1AF3" w14:paraId="7E0C4CAB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23B5F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color w:val="1A2733"/>
                <w:sz w:val="18"/>
              </w:rPr>
              <w:t>JCT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C8AF9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Job Completion Time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，训练作业完成时间，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L12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的核心验收指标之一。</w:t>
            </w:r>
          </w:p>
        </w:tc>
      </w:tr>
      <w:tr w:rsidR="006C1AF3" w14:paraId="6B2A89F7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630A3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color w:val="1A2733"/>
                <w:sz w:val="18"/>
              </w:rPr>
              <w:lastRenderedPageBreak/>
              <w:t>CTAM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4A212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OCP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的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GPU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加速器合规测试套件，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2026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年起被部分超大规模用户作为固件验收前置条件。</w:t>
            </w:r>
          </w:p>
        </w:tc>
      </w:tr>
      <w:tr w:rsidR="006C1AF3" w14:paraId="77188775" w14:textId="77777777">
        <w:trPr>
          <w:cantSplit/>
        </w:trPr>
        <w:tc>
          <w:tcPr>
            <w:tcW w:w="1827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CBA1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/>
                <w:color w:val="1A2733"/>
                <w:sz w:val="18"/>
              </w:rPr>
              <w:t>FMEA / RPN</w:t>
            </w:r>
          </w:p>
        </w:tc>
        <w:tc>
          <w:tcPr>
            <w:tcW w:w="6479" w:type="dxa"/>
            <w:tcBorders>
              <w:top w:val="single" w:sz="6" w:space="0" w:color="D7E0E8"/>
              <w:left w:val="single" w:sz="6" w:space="0" w:color="D7E0E8"/>
              <w:bottom w:val="single" w:sz="6" w:space="0" w:color="D7E0E8"/>
              <w:right w:val="single" w:sz="6" w:space="0" w:color="D7E0E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FC5EB" w14:textId="77777777" w:rsidR="006C1AF3" w:rsidRDefault="004B2385">
            <w:pPr>
              <w:rPr>
                <w:color w:val="1A2733"/>
              </w:rPr>
            </w:pP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失效模式与影响分析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 xml:space="preserve"> / </w:t>
            </w:r>
            <w:r>
              <w:rPr>
                <w:rFonts w:ascii="微软雅黑" w:eastAsia="微软雅黑" w:hAnsi="微软雅黑" w:cs="微软雅黑" w:hint="eastAsia"/>
                <w:color w:val="1A2733"/>
                <w:sz w:val="18"/>
              </w:rPr>
              <w:t>风险优先数，用于确定故障注入的优先级。</w:t>
            </w:r>
          </w:p>
        </w:tc>
      </w:tr>
    </w:tbl>
    <w:p w14:paraId="03119176" w14:textId="77777777" w:rsidR="006C1AF3" w:rsidRDefault="004B2385">
      <w:pPr>
        <w:pStyle w:val="Heading2"/>
        <w:pBdr>
          <w:left w:val="single" w:sz="24" w:space="10" w:color="1F4E79"/>
        </w:pBdr>
        <w:spacing w:before="360" w:beforeAutospacing="1" w:after="360" w:afterAutospacing="1" w:line="388" w:lineRule="auto"/>
        <w:ind w:left="360" w:right="360"/>
        <w:rPr>
          <w:color w:val="1F4E79"/>
          <w:sz w:val="32"/>
          <w:szCs w:val="32"/>
        </w:rPr>
      </w:pPr>
      <w:r>
        <w:rPr>
          <w:rFonts w:ascii="微软雅黑" w:eastAsia="微软雅黑" w:hAnsi="微软雅黑" w:cs="微软雅黑" w:hint="eastAsia"/>
          <w:color w:val="1F4E79"/>
          <w:sz w:val="30"/>
        </w:rPr>
        <w:t>附录</w:t>
      </w:r>
      <w:r>
        <w:rPr>
          <w:rFonts w:ascii="微软雅黑" w:eastAsia="微软雅黑" w:hAnsi="微软雅黑" w:cs="微软雅黑" w:hint="eastAsia"/>
          <w:color w:val="1F4E79"/>
          <w:sz w:val="30"/>
        </w:rPr>
        <w:t xml:space="preserve"> B</w:t>
      </w:r>
      <w:r>
        <w:rPr>
          <w:rFonts w:ascii="微软雅黑" w:eastAsia="微软雅黑" w:hAnsi="微软雅黑" w:cs="微软雅黑" w:hint="eastAsia"/>
          <w:color w:val="1F4E79"/>
          <w:sz w:val="30"/>
        </w:rPr>
        <w:t xml:space="preserve">　证据分级与来源</w:t>
      </w:r>
    </w:p>
    <w:p w14:paraId="54061C61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 xml:space="preserve">A </w:t>
      </w:r>
      <w:r>
        <w:rPr>
          <w:rFonts w:ascii="微软雅黑" w:eastAsia="微软雅黑" w:hAnsi="微软雅黑" w:cs="微软雅黑" w:hint="eastAsia"/>
          <w:b/>
          <w:color w:val="1F4E79"/>
        </w:rPr>
        <w:t>级（已确认）：</w:t>
      </w:r>
      <w:r>
        <w:rPr>
          <w:rFonts w:ascii="微软雅黑" w:eastAsia="微软雅黑" w:hAnsi="微软雅黑" w:cs="微软雅黑" w:hint="eastAsia"/>
          <w:color w:val="1A2733"/>
        </w:rPr>
        <w:t xml:space="preserve">OCP 2026 </w:t>
      </w:r>
      <w:r>
        <w:rPr>
          <w:rFonts w:ascii="微软雅黑" w:eastAsia="微软雅黑" w:hAnsi="微软雅黑" w:cs="微软雅黑" w:hint="eastAsia"/>
          <w:color w:val="1A2733"/>
        </w:rPr>
        <w:t>官方议程与演示材料，包括《</w:t>
      </w:r>
      <w:r>
        <w:rPr>
          <w:rFonts w:ascii="微软雅黑" w:eastAsia="微软雅黑" w:hAnsi="微软雅黑" w:cs="微软雅黑" w:hint="eastAsia"/>
          <w:color w:val="1A2733"/>
        </w:rPr>
        <w:t>From Tray to Training Job: L10</w:t>
      </w:r>
      <w:r>
        <w:rPr>
          <w:rFonts w:ascii="微软雅黑" w:eastAsia="微软雅黑" w:hAnsi="微软雅黑" w:cs="微软雅黑" w:hint="eastAsia"/>
          <w:color w:val="1A2733"/>
        </w:rPr>
        <w:t>–</w:t>
      </w:r>
      <w:r>
        <w:rPr>
          <w:rFonts w:ascii="微软雅黑" w:eastAsia="微软雅黑" w:hAnsi="微软雅黑" w:cs="微软雅黑" w:hint="eastAsia"/>
          <w:color w:val="1A2733"/>
        </w:rPr>
        <w:t>L12 Manufacturing Test</w:t>
      </w:r>
      <w:r>
        <w:rPr>
          <w:rFonts w:ascii="微软雅黑" w:eastAsia="微软雅黑" w:hAnsi="微软雅黑" w:cs="微软雅黑" w:hint="eastAsia"/>
          <w:color w:val="1A2733"/>
        </w:rPr>
        <w:t>》（</w:t>
      </w:r>
      <w:r>
        <w:rPr>
          <w:rFonts w:ascii="微软雅黑" w:eastAsia="微软雅黑" w:hAnsi="微软雅黑" w:cs="微软雅黑" w:hint="eastAsia"/>
          <w:color w:val="1A2733"/>
        </w:rPr>
        <w:t>Cisco / Supermicro</w:t>
      </w:r>
      <w:r>
        <w:rPr>
          <w:rFonts w:ascii="微软雅黑" w:eastAsia="微软雅黑" w:hAnsi="微软雅黑" w:cs="微软雅黑" w:hint="eastAsia"/>
          <w:color w:val="1A2733"/>
        </w:rPr>
        <w:t>）、《</w:t>
      </w:r>
      <w:r>
        <w:rPr>
          <w:rFonts w:ascii="微软雅黑" w:eastAsia="微软雅黑" w:hAnsi="微软雅黑" w:cs="微软雅黑" w:hint="eastAsia"/>
          <w:color w:val="1A2733"/>
        </w:rPr>
        <w:t>Open Rack Wide (ORW): Progress, Validation, and What's Next</w:t>
      </w:r>
      <w:r>
        <w:rPr>
          <w:rFonts w:ascii="微软雅黑" w:eastAsia="微软雅黑" w:hAnsi="微软雅黑" w:cs="微软雅黑" w:hint="eastAsia"/>
          <w:color w:val="1A2733"/>
        </w:rPr>
        <w:t>》（</w:t>
      </w:r>
      <w:r>
        <w:rPr>
          <w:rFonts w:ascii="微软雅黑" w:eastAsia="微软雅黑" w:hAnsi="微软雅黑" w:cs="微软雅黑" w:hint="eastAsia"/>
          <w:color w:val="1A2733"/>
        </w:rPr>
        <w:t>Meta / Rittal</w:t>
      </w:r>
      <w:r>
        <w:rPr>
          <w:rFonts w:ascii="微软雅黑" w:eastAsia="微软雅黑" w:hAnsi="微软雅黑" w:cs="微软雅黑" w:hint="eastAsia"/>
          <w:color w:val="1A2733"/>
        </w:rPr>
        <w:t>）、《</w:t>
      </w:r>
      <w:r>
        <w:rPr>
          <w:rFonts w:ascii="微软雅黑" w:eastAsia="微软雅黑" w:hAnsi="微软雅黑" w:cs="微软雅黑" w:hint="eastAsia"/>
          <w:color w:val="1A2733"/>
        </w:rPr>
        <w:t>CTAM: Three Years of Bridging Hyperscalers and Suppliers</w:t>
      </w:r>
      <w:r>
        <w:rPr>
          <w:rFonts w:ascii="微软雅黑" w:eastAsia="微软雅黑" w:hAnsi="微软雅黑" w:cs="微软雅黑" w:hint="eastAsia"/>
          <w:color w:val="1A2733"/>
        </w:rPr>
        <w:t>》（</w:t>
      </w:r>
      <w:r>
        <w:rPr>
          <w:rFonts w:ascii="微软雅黑" w:eastAsia="微软雅黑" w:hAnsi="微软雅黑" w:cs="微软雅黑" w:hint="eastAsia"/>
          <w:color w:val="1A2733"/>
        </w:rPr>
        <w:t>AMD / NVIDIA</w:t>
      </w:r>
      <w:r>
        <w:rPr>
          <w:rFonts w:ascii="微软雅黑" w:eastAsia="微软雅黑" w:hAnsi="微软雅黑" w:cs="微软雅黑" w:hint="eastAsia"/>
          <w:color w:val="1A2733"/>
        </w:rPr>
        <w:t>）、《</w:t>
      </w:r>
      <w:r>
        <w:rPr>
          <w:rFonts w:ascii="微软雅黑" w:eastAsia="微软雅黑" w:hAnsi="微软雅黑" w:cs="微软雅黑" w:hint="eastAsia"/>
          <w:color w:val="1A2733"/>
        </w:rPr>
        <w:t>AI-Native Hardware Validation</w:t>
      </w:r>
      <w:r>
        <w:rPr>
          <w:rFonts w:ascii="微软雅黑" w:eastAsia="微软雅黑" w:hAnsi="微软雅黑" w:cs="微软雅黑" w:hint="eastAsia"/>
          <w:color w:val="1A2733"/>
        </w:rPr>
        <w:t>》（</w:t>
      </w:r>
      <w:r>
        <w:rPr>
          <w:rFonts w:ascii="微软雅黑" w:eastAsia="微软雅黑" w:hAnsi="微软雅黑" w:cs="微软雅黑" w:hint="eastAsia"/>
          <w:color w:val="1A2733"/>
        </w:rPr>
        <w:t>Microsoft</w:t>
      </w:r>
      <w:r>
        <w:rPr>
          <w:rFonts w:ascii="微软雅黑" w:eastAsia="微软雅黑" w:hAnsi="微软雅黑" w:cs="微软雅黑" w:hint="eastAsia"/>
          <w:color w:val="1A2733"/>
        </w:rPr>
        <w:t>）。本文中所有关于</w:t>
      </w:r>
      <w:r>
        <w:rPr>
          <w:rFonts w:ascii="微软雅黑" w:eastAsia="微软雅黑" w:hAnsi="微软雅黑" w:cs="微软雅黑" w:hint="eastAsia"/>
          <w:color w:val="1A2733"/>
        </w:rPr>
        <w:t xml:space="preserve"> L10</w:t>
      </w:r>
      <w:r>
        <w:rPr>
          <w:rFonts w:ascii="微软雅黑" w:eastAsia="微软雅黑" w:hAnsi="微软雅黑" w:cs="微软雅黑" w:hint="eastAsia"/>
          <w:color w:val="1A2733"/>
        </w:rPr>
        <w:t>–</w:t>
      </w:r>
      <w:r>
        <w:rPr>
          <w:rFonts w:ascii="微软雅黑" w:eastAsia="微软雅黑" w:hAnsi="微软雅黑" w:cs="微软雅黑" w:hint="eastAsia"/>
          <w:color w:val="1A2733"/>
        </w:rPr>
        <w:t xml:space="preserve">L12 </w:t>
      </w:r>
      <w:r>
        <w:rPr>
          <w:rFonts w:ascii="微软雅黑" w:eastAsia="微软雅黑" w:hAnsi="微软雅黑" w:cs="微软雅黑" w:hint="eastAsia"/>
          <w:color w:val="1A2733"/>
        </w:rPr>
        <w:t>定义、测试内容、输出物与「不证明」清单的表述，均直接来自上述材料。</w:t>
      </w:r>
    </w:p>
    <w:p w14:paraId="097B9E25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 xml:space="preserve">A </w:t>
      </w:r>
      <w:r>
        <w:rPr>
          <w:rFonts w:ascii="微软雅黑" w:eastAsia="微软雅黑" w:hAnsi="微软雅黑" w:cs="微软雅黑" w:hint="eastAsia"/>
          <w:b/>
          <w:color w:val="1F4E79"/>
        </w:rPr>
        <w:t>级（补充）：</w:t>
      </w:r>
      <w:r>
        <w:rPr>
          <w:rFonts w:ascii="微软雅黑" w:eastAsia="微软雅黑" w:hAnsi="微软雅黑" w:cs="微软雅黑" w:hint="eastAsia"/>
          <w:color w:val="1A2733"/>
        </w:rPr>
        <w:t xml:space="preserve">2026 OCP China Day </w:t>
      </w:r>
      <w:r>
        <w:rPr>
          <w:rFonts w:ascii="微软雅黑" w:eastAsia="微软雅黑" w:hAnsi="微软雅黑" w:cs="微软雅黑" w:hint="eastAsia"/>
          <w:color w:val="1A2733"/>
        </w:rPr>
        <w:t>相关议题，包括高速互连系统方案实践（庆虹电子）、原生液冷系统创新与实践（浪潮信息）、兆瓦级算力系统实践（字节跳动）。用于补充供应链侧的验证实践与国内超节点的形态参数。</w:t>
      </w:r>
    </w:p>
    <w:p w14:paraId="666EA0F2" w14:textId="77777777" w:rsidR="006C1AF3" w:rsidRDefault="004B2385">
      <w:pPr>
        <w:spacing w:line="388" w:lineRule="auto"/>
        <w:jc w:val="both"/>
        <w:rPr>
          <w:color w:val="1A2733"/>
        </w:rPr>
      </w:pPr>
      <w:r>
        <w:rPr>
          <w:rFonts w:ascii="微软雅黑" w:eastAsia="微软雅黑" w:hAnsi="微软雅黑" w:cs="微软雅黑" w:hint="eastAsia"/>
          <w:b/>
          <w:color w:val="1F4E79"/>
        </w:rPr>
        <w:t xml:space="preserve">C </w:t>
      </w:r>
      <w:r>
        <w:rPr>
          <w:rFonts w:ascii="微软雅黑" w:eastAsia="微软雅黑" w:hAnsi="微软雅黑" w:cs="微软雅黑" w:hint="eastAsia"/>
          <w:b/>
          <w:color w:val="1F4E79"/>
        </w:rPr>
        <w:t>级（分析判断）：</w:t>
      </w:r>
      <w:r>
        <w:rPr>
          <w:rFonts w:ascii="微软雅黑" w:eastAsia="微软雅黑" w:hAnsi="微软雅黑" w:cs="微软雅黑" w:hint="eastAsia"/>
          <w:color w:val="1A2733"/>
        </w:rPr>
        <w:t>四层覆盖率模型、</w:t>
      </w:r>
      <w:r>
        <w:rPr>
          <w:rFonts w:ascii="微软雅黑" w:eastAsia="微软雅黑" w:hAnsi="微软雅黑" w:cs="微软雅黑" w:hint="eastAsia"/>
          <w:color w:val="1A2733"/>
        </w:rPr>
        <w:t xml:space="preserve">WCI </w:t>
      </w:r>
      <w:r>
        <w:rPr>
          <w:rFonts w:ascii="微软雅黑" w:eastAsia="微软雅黑" w:hAnsi="微软雅黑" w:cs="微软雅黑" w:hint="eastAsia"/>
          <w:color w:val="1A2733"/>
        </w:rPr>
        <w:t>权重、缺陷处置成本倍数、液路阶段风险等级、</w:t>
      </w:r>
      <w:r>
        <w:rPr>
          <w:rFonts w:ascii="微软雅黑" w:eastAsia="微软雅黑" w:hAnsi="微软雅黑" w:cs="微软雅黑" w:hint="eastAsia"/>
          <w:color w:val="1A2733"/>
        </w:rPr>
        <w:t xml:space="preserve">MRS </w:t>
      </w:r>
      <w:r>
        <w:rPr>
          <w:rFonts w:ascii="微软雅黑" w:eastAsia="微软雅黑" w:hAnsi="微软雅黑" w:cs="微软雅黑" w:hint="eastAsia"/>
          <w:color w:val="1A2733"/>
        </w:rPr>
        <w:t>权重与门槛、三条翻车路径。这些内容是基于公开事实的推导，用于建立管理工具，不代表任何厂商或标准的官方立场，需在实施前用本企业数据重新标定。</w:t>
      </w:r>
    </w:p>
    <w:p w14:paraId="3D2143E6" w14:textId="77777777" w:rsidR="006C1AF3" w:rsidRDefault="004B2385">
      <w:pPr>
        <w:spacing w:line="388" w:lineRule="auto"/>
        <w:jc w:val="both"/>
        <w:rPr>
          <w:color w:val="8C99A6"/>
        </w:rPr>
      </w:pPr>
      <w:r>
        <w:rPr>
          <w:rFonts w:ascii="微软雅黑" w:eastAsia="微软雅黑" w:hAnsi="微软雅黑" w:cs="微软雅黑" w:hint="eastAsia"/>
          <w:color w:val="8C99A6"/>
          <w:sz w:val="18"/>
        </w:rPr>
        <w:t>本文所有图表为本报告原创绘制；图</w:t>
      </w:r>
      <w:r>
        <w:rPr>
          <w:rFonts w:ascii="微软雅黑" w:eastAsia="微软雅黑" w:hAnsi="微软雅黑" w:cs="微软雅黑" w:hint="eastAsia"/>
          <w:color w:val="8C99A6"/>
          <w:sz w:val="18"/>
        </w:rPr>
        <w:t xml:space="preserve"> 3</w:t>
      </w:r>
      <w:r>
        <w:rPr>
          <w:rFonts w:ascii="微软雅黑" w:eastAsia="微软雅黑" w:hAnsi="微软雅黑" w:cs="微软雅黑" w:hint="eastAsia"/>
          <w:color w:val="8C99A6"/>
          <w:sz w:val="18"/>
        </w:rPr>
        <w:t>、图</w:t>
      </w:r>
      <w:r>
        <w:rPr>
          <w:rFonts w:ascii="微软雅黑" w:eastAsia="微软雅黑" w:hAnsi="微软雅黑" w:cs="微软雅黑" w:hint="eastAsia"/>
          <w:color w:val="8C99A6"/>
          <w:sz w:val="18"/>
        </w:rPr>
        <w:t xml:space="preserve"> 5</w:t>
      </w:r>
      <w:r>
        <w:rPr>
          <w:rFonts w:ascii="微软雅黑" w:eastAsia="微软雅黑" w:hAnsi="微软雅黑" w:cs="微软雅黑" w:hint="eastAsia"/>
          <w:color w:val="8C99A6"/>
          <w:sz w:val="18"/>
        </w:rPr>
        <w:t>、图</w:t>
      </w:r>
      <w:r>
        <w:rPr>
          <w:rFonts w:ascii="微软雅黑" w:eastAsia="微软雅黑" w:hAnsi="微软雅黑" w:cs="微软雅黑" w:hint="eastAsia"/>
          <w:color w:val="8C99A6"/>
          <w:sz w:val="18"/>
        </w:rPr>
        <w:t xml:space="preserve"> 7</w:t>
      </w:r>
      <w:r>
        <w:rPr>
          <w:rFonts w:ascii="微软雅黑" w:eastAsia="微软雅黑" w:hAnsi="微软雅黑" w:cs="微软雅黑" w:hint="eastAsia"/>
          <w:color w:val="8C99A6"/>
          <w:sz w:val="18"/>
        </w:rPr>
        <w:t>、图</w:t>
      </w:r>
      <w:r>
        <w:rPr>
          <w:rFonts w:ascii="微软雅黑" w:eastAsia="微软雅黑" w:hAnsi="微软雅黑" w:cs="微软雅黑" w:hint="eastAsia"/>
          <w:color w:val="8C99A6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8C99A6"/>
          <w:sz w:val="18"/>
        </w:rPr>
        <w:t>中的数值为分析模型示意，不作为数值依据。</w:t>
      </w:r>
    </w:p>
    <w:p w14:paraId="40369C2E" w14:textId="77777777" w:rsidR="006C1AF3" w:rsidRDefault="006C1AF3"/>
    <w:sectPr w:rsidR="006C1AF3" w:rsidSect="007C47F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021" w:bottom="1134" w:left="1021" w:header="567" w:footer="567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65F95" w14:textId="77777777" w:rsidR="004B2385" w:rsidRDefault="004B2385" w:rsidP="007C47F5">
      <w:r>
        <w:separator/>
      </w:r>
    </w:p>
  </w:endnote>
  <w:endnote w:type="continuationSeparator" w:id="0">
    <w:p w14:paraId="7F79A849" w14:textId="77777777" w:rsidR="004B2385" w:rsidRDefault="004B2385" w:rsidP="007C4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0FC88" w14:textId="77777777" w:rsidR="007C47F5" w:rsidRDefault="007C47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F574" w14:textId="3E3F2C74" w:rsidR="007C47F5" w:rsidRPr="007C47F5" w:rsidRDefault="007C47F5" w:rsidP="007C47F5">
    <w:pPr>
      <w:pStyle w:val="Footer"/>
      <w:jc w:val="center"/>
      <w:rPr>
        <w:rFonts w:ascii="微软雅黑" w:eastAsia="微软雅黑" w:hAnsi="微软雅黑"/>
        <w:color w:val="808080"/>
        <w:sz w:val="17"/>
      </w:rPr>
    </w:pPr>
    <w:r>
      <w:rPr>
        <w:rFonts w:ascii="微软雅黑" w:eastAsia="微软雅黑" w:hAnsi="微软雅黑" w:hint="eastAsia"/>
        <w:color w:val="808080"/>
        <w:sz w:val="17"/>
      </w:rPr>
      <w:t>第</w:t>
    </w:r>
    <w:r>
      <w:rPr>
        <w:rFonts w:ascii="微软雅黑" w:eastAsia="微软雅黑" w:hAnsi="微软雅黑"/>
        <w:color w:val="808080"/>
        <w:sz w:val="17"/>
      </w:rPr>
      <w:t xml:space="preserve"> </w:t>
    </w:r>
    <w:r>
      <w:rPr>
        <w:rFonts w:ascii="微软雅黑" w:eastAsia="微软雅黑" w:hAnsi="微软雅黑"/>
        <w:color w:val="808080"/>
        <w:sz w:val="17"/>
      </w:rPr>
      <w:fldChar w:fldCharType="begin"/>
    </w:r>
    <w:r>
      <w:rPr>
        <w:rFonts w:ascii="微软雅黑" w:eastAsia="微软雅黑" w:hAnsi="微软雅黑"/>
        <w:color w:val="808080"/>
        <w:sz w:val="17"/>
      </w:rPr>
      <w:instrText xml:space="preserve"> PAGE  \* MERGEFORMAT </w:instrText>
    </w:r>
    <w:r>
      <w:rPr>
        <w:rFonts w:ascii="微软雅黑" w:eastAsia="微软雅黑" w:hAnsi="微软雅黑"/>
        <w:color w:val="808080"/>
        <w:sz w:val="17"/>
      </w:rPr>
      <w:fldChar w:fldCharType="separate"/>
    </w:r>
    <w:r>
      <w:rPr>
        <w:rFonts w:ascii="微软雅黑" w:eastAsia="微软雅黑" w:hAnsi="微软雅黑"/>
        <w:noProof/>
        <w:color w:val="808080"/>
        <w:sz w:val="17"/>
      </w:rPr>
      <w:t>1</w:t>
    </w:r>
    <w:r>
      <w:rPr>
        <w:rFonts w:ascii="微软雅黑" w:eastAsia="微软雅黑" w:hAnsi="微软雅黑"/>
        <w:color w:val="808080"/>
        <w:sz w:val="17"/>
      </w:rPr>
      <w:fldChar w:fldCharType="end"/>
    </w:r>
    <w:r>
      <w:rPr>
        <w:rFonts w:ascii="微软雅黑" w:eastAsia="微软雅黑" w:hAnsi="微软雅黑"/>
        <w:color w:val="808080"/>
        <w:sz w:val="17"/>
      </w:rPr>
      <w:t xml:space="preserve"> 页 / 共 </w:t>
    </w:r>
    <w:r>
      <w:rPr>
        <w:rFonts w:ascii="微软雅黑" w:eastAsia="微软雅黑" w:hAnsi="微软雅黑"/>
        <w:color w:val="808080"/>
        <w:sz w:val="17"/>
      </w:rPr>
      <w:fldChar w:fldCharType="begin"/>
    </w:r>
    <w:r>
      <w:rPr>
        <w:rFonts w:ascii="微软雅黑" w:eastAsia="微软雅黑" w:hAnsi="微软雅黑"/>
        <w:color w:val="808080"/>
        <w:sz w:val="17"/>
      </w:rPr>
      <w:instrText xml:space="preserve"> NUMPAGES  \* MERGEFORMAT </w:instrText>
    </w:r>
    <w:r>
      <w:rPr>
        <w:rFonts w:ascii="微软雅黑" w:eastAsia="微软雅黑" w:hAnsi="微软雅黑"/>
        <w:color w:val="808080"/>
        <w:sz w:val="17"/>
      </w:rPr>
      <w:fldChar w:fldCharType="separate"/>
    </w:r>
    <w:r>
      <w:rPr>
        <w:rFonts w:ascii="微软雅黑" w:eastAsia="微软雅黑" w:hAnsi="微软雅黑"/>
        <w:noProof/>
        <w:color w:val="808080"/>
        <w:sz w:val="17"/>
      </w:rPr>
      <w:t>3</w:t>
    </w:r>
    <w:r>
      <w:rPr>
        <w:rFonts w:ascii="微软雅黑" w:eastAsia="微软雅黑" w:hAnsi="微软雅黑"/>
        <w:color w:val="808080"/>
        <w:sz w:val="17"/>
      </w:rPr>
      <w:fldChar w:fldCharType="end"/>
    </w:r>
    <w:r>
      <w:rPr>
        <w:rFonts w:ascii="微软雅黑" w:eastAsia="微软雅黑" w:hAnsi="微软雅黑"/>
        <w:color w:val="808080"/>
        <w:sz w:val="17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20D5E" w14:textId="77777777" w:rsidR="007C47F5" w:rsidRDefault="007C47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DA6B" w14:textId="77777777" w:rsidR="004B2385" w:rsidRDefault="004B2385" w:rsidP="007C47F5">
      <w:r>
        <w:separator/>
      </w:r>
    </w:p>
  </w:footnote>
  <w:footnote w:type="continuationSeparator" w:id="0">
    <w:p w14:paraId="5F657DFC" w14:textId="77777777" w:rsidR="004B2385" w:rsidRDefault="004B2385" w:rsidP="007C4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AF17" w14:textId="77777777" w:rsidR="007C47F5" w:rsidRDefault="007C47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ACE8" w14:textId="77777777" w:rsidR="007C47F5" w:rsidRDefault="007C47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73D0" w14:textId="77777777" w:rsidR="007C47F5" w:rsidRDefault="007C47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95703"/>
    <w:multiLevelType w:val="multilevel"/>
    <w:tmpl w:val="6A28F40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B3A7BE2"/>
    <w:multiLevelType w:val="multilevel"/>
    <w:tmpl w:val="BAB07C5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C0D6BF5"/>
    <w:multiLevelType w:val="multilevel"/>
    <w:tmpl w:val="E59066A0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40620">
    <w:abstractNumId w:val="1"/>
  </w:num>
  <w:num w:numId="2" w16cid:durableId="993069838">
    <w:abstractNumId w:val="0"/>
  </w:num>
  <w:num w:numId="3" w16cid:durableId="1085150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AF3"/>
    <w:rsid w:val="004B2385"/>
    <w:rsid w:val="006C1AF3"/>
    <w:rsid w:val="007C47F5"/>
    <w:rsid w:val="00E3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F3DE5A"/>
  <w15:docId w15:val="{7586A9B4-3252-4880-AA1C-DED416C5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paragraph" w:styleId="Heading3">
    <w:name w:val="heading 3"/>
    <w:uiPriority w:val="9"/>
    <w:qFormat/>
    <w:pPr>
      <w:keepNext/>
      <w:keepLines/>
      <w:spacing w:before="180" w:after="8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C47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C47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C4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13444</Words>
  <Characters>15040</Characters>
  <Application>Microsoft Office Word</Application>
  <DocSecurity>0</DocSecurity>
  <Lines>696</Lines>
  <Paragraphs>407</Paragraphs>
  <ScaleCrop>false</ScaleCrop>
  <Company/>
  <LinksUpToDate>false</LinksUpToDate>
  <CharactersWithSpaces>15772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mingchao huang</cp:lastModifiedBy>
  <cp:revision>2</cp:revision>
  <dcterms:created xsi:type="dcterms:W3CDTF">2026-10-18T12:43:00Z</dcterms:created>
  <dcterms:modified xsi:type="dcterms:W3CDTF">2026-10-18T04:44:00Z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"01a14d44fc2f7bd69b9850507230f30d", "ReservedCode1": "", "ContentPropagator": "00119111010856365494821B355", "PropagateID": "01a14d44fc2f7bd69b9850507230f30d", "ReservedCode2": ""}}</vt:lpwstr>
  </property>
</Properties>
</file>