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These bulk sediment trap flux data are shared for the purposes of internal EXPORTS project use.  Please contact Meg Estapa (</w:t>
      </w:r>
      <w:hyperlink r:id="rId6">
        <w:r w:rsidDel="00000000" w:rsidR="00000000" w:rsidRPr="00000000">
          <w:rPr>
            <w:color w:val="1155cc"/>
            <w:u w:val="single"/>
            <w:rtl w:val="0"/>
          </w:rPr>
          <w:t xml:space="preserve">margaret.estapa@maine.edu</w:t>
        </w:r>
      </w:hyperlink>
      <w:r w:rsidDel="00000000" w:rsidR="00000000" w:rsidRPr="00000000">
        <w:rPr>
          <w:rtl w:val="0"/>
        </w:rPr>
        <w:t xml:space="preserve">)</w:t>
      </w:r>
      <w:r w:rsidDel="00000000" w:rsidR="00000000" w:rsidRPr="00000000">
        <w:rPr>
          <w:rtl w:val="0"/>
        </w:rPr>
        <w:t xml:space="preserve"> with any questions!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accompanying PDF file and Zoom recording provide additional details about sediment trap sample collection and subsampling.  The discussion includes some important considerations about platform effects that may affect the measured bulk fluxes, particularly in Epoch 3.  The Zoom call includes a question and answer session from EXPORTS PIs who are performing other analyses on trap sample splits.  The Zoom recording also provides an overview of student projects that are underway involving the sediment trap bulk flux data.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spreadsheet contains two worksheets.  The first (“Splits”) gives trap fluxes on a split-by-split basis.  Uncertainties in this sheet are propagated from the analytical uncertainties, and comments are used to note irregularities at both the platform and split levels.  The second worksheet (“Mean”) shows fluxes averaged over all splits for a single platform, and uncertainties are reported as the standard deviations among replicate splits.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As of May 2021 (“V2”), these data are final and being prepared for SeaBASS.  The only change from V1 to V2 was a small shift in PC, PN, and POC fluxes to the STT at 125 m during Epoch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garet.estapa@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