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the judge's Standard Direction Order or directions order.</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UPLOAD_EVIDENCE and CREATE_HEARING_NOTICE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the claim fee by PBA or card</w:t>
      </w:r>
    </w:p>
    <w:p>
      <w:pPr>
        <w:spacing w:after="120"/>
      </w:pPr>
      <w:r>
        <w:rPr>
          <w:rFonts w:ascii="Arial" w:cs="Arial" w:eastAsia="Arial" w:hAnsi="Arial"/>
        </w:rPr>
        <w:t xml:space="preserve">PAYMENT_METHOD=PBA (the default) pays from the claimant solicitor's PBA account. PAYMENT_METHOD=CARD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is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2026-10-26T16:56:52.768Z</dcterms:created>
  <dcterms:modified xsi:type="dcterms:W3CDTF">2026-10-26T16:56:52.769Z</dcterms:modified>
</cp:coreProperties>
</file>

<file path=docProps/custom.xml><?xml version="1.0" encoding="utf-8"?>
<Properties xmlns="http://schemas.openxmlformats.org/officeDocument/2006/custom-properties" xmlns:vt="http://schemas.openxmlformats.org/officeDocument/2006/docPropsVTypes"/>
</file>