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the claimant's response to the defence.</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through the API (All_FINAL_ORDERS_ISSUED is only ever reached by the last step, RESPOND_TO_DEFENCE, so every step uses the API):</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Paying the claim fee by PBA or card</w:t>
      </w:r>
    </w:p>
    <w:p>
      <w:pPr>
        <w:spacing w:after="120"/>
      </w:pPr>
      <w:r>
        <w:rPr>
          <w:rFonts w:ascii="Arial" w:cs="Arial" w:eastAsia="Arial" w:hAnsi="Arial"/>
        </w:rPr>
        <w:t xml:space="preserve">PAYMENT_METHOD=PBA (the default) pays from the claimant solicitor's PBA account. PAYMENT_METHOD=CARD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9.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3310"/>
        <w:gridCol w:w="1265"/>
        <w:gridCol w:w="3311"/>
      </w:tblGrid>
      <w:tr>
        <w:trPr>
          <w:tblHeader/>
        </w:trPr>
        <w:tc>
          <w:tcPr>
            <w:tcW w:type="dxa" w:w="17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3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2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31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is paid. CARD is always paid in the UI.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bl>
    <w:p>
      <w:r>
        <w:rPr>
          <w:rFonts w:ascii="Arial" w:cs="Arial" w:eastAsia="Arial" w:hAnsi="Arial"/>
        </w:rPr>
        <w:t xml:space="preserve"/>
      </w:r>
    </w:p>
    <w:p>
      <w:pPr>
        <w:pStyle w:val="Heading2"/>
      </w:pPr>
      <w:r>
        <w:rPr>
          <w:rFonts w:ascii="Arial" w:cs="Arial" w:eastAsia="Arial" w:hAnsi="Arial"/>
        </w:rPr>
        <w:t xml:space="preserve">11.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2026-10-26T12:18:26.641Z</dcterms:created>
  <dcterms:modified xsi:type="dcterms:W3CDTF">2026-10-26T12:18:26.643Z</dcterms:modified>
</cp:coreProperties>
</file>

<file path=docProps/custom.xml><?xml version="1.0" encoding="utf-8"?>
<Properties xmlns="http://schemas.openxmlformats.org/officeDocument/2006/custom-properties" xmlns:vt="http://schemas.openxmlformats.org/officeDocument/2006/docPropsVTypes"/>
</file>